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KGSG — Unrechtmäßige Einfuhr von Kulturgut</w:t>
      </w:r>
    </w:p>
    <w:p>
      <w:r>
        <w:rPr>
          <w:color w:val="555555"/>
          <w:sz w:val="18"/>
        </w:rPr>
        <w:t xml:space="preserve">Kulturgutschutzgesetz</w:t>
      </w:r>
    </w:p>
    <w:p>
      <w:r>
        <w:rPr>
          <w:color w:val="555555"/>
          <w:sz w:val="18"/>
        </w:rPr>
        <w:t xml:space="preserve">Stand: 23.07.2025 (konsolidierte Textfassung, kein amtliches Inkrafttretensdatum)</w:t>
      </w:r>
    </w:p>
    <w:p>
      <w:r>
        <w:t xml:space="preserve">(1) Die Einfuhr von Kulturgut ist unrechtmäßig, wenn sie</w:t>
      </w:r>
    </w:p>
    <w:p>
      <w:pPr>
        <w:ind w:left="420"/>
      </w:pPr>
      <w:r>
        <w:t xml:space="preserve">1. gegen § 28 Nummer 1 oder 2 verstößt und das Kulturgut</w:t>
      </w:r>
    </w:p>
    <w:p>
      <w:pPr>
        <w:ind w:left="780"/>
      </w:pPr>
      <w:r>
        <w:t xml:space="preserve">a) nach dem 31. Dezember 1992 aus dem Hoheitsgebiet eines anderen Mitgliedstaates verbracht worden ist oder</w:t>
      </w:r>
    </w:p>
    <w:p>
      <w:pPr>
        <w:ind w:left="780"/>
      </w:pPr>
      <w:r>
        <w:t xml:space="preserve">b) nach dem 26. April 2007 aus dem Hoheitsgebiet eines Vertragsstaates verbracht worden ist,</w:t>
      </w:r>
    </w:p>
    <w:p>
      <w:pPr>
        <w:ind w:left="420"/>
      </w:pPr>
      <w:r>
        <w:t xml:space="preserve">2. gegen § 28 Nummer 3 verstößt oder</w:t>
      </w:r>
    </w:p>
    <w:p>
      <w:pPr>
        <w:ind w:left="420"/>
      </w:pPr>
      <w:r>
        <w:t xml:space="preserve">3. gegen sonstige in der Bundesrepublik Deutschland geltende Rechtsvorschriften verstößt.</w:t>
      </w:r>
    </w:p>
    <w:p>
      <w:r>
        <w:t xml:space="preserve">(2) Kann die Herkunft von Kulturgut in mehreren heutigen Staaten liegen und lässt sich keine eindeutige Zuordnung vornehmen, so ist das Kulturgut unrechtmäßig eingeführt, wenn das Kulturgut nach dem Recht jedes in Frage kommenden Staates nicht ohne Ausfuhrgenehmigung hätte ausgeführt werden dürfen und eine solche Ausfuhrgenehmigung nicht vorliegt.</w:t>
      </w:r>
    </w:p>
    <w:p>
      <w:r>
        <w:rPr>
          <w:color w:val="555555"/>
          <w:sz w:val="17"/>
        </w:rPr>
        <w:t xml:space="preserve">Zitiervorschlag: § 32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