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KGSG — Unrechtmäßige Ausfuhr von Kulturgut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23.07.2025 (konsolidierte Textfassung, kein amtliches Inkrafttretensdatum)</w:t>
      </w:r>
    </w:p>
    <w:p>
      <w:r>
        <w:t xml:space="preserve">(1) Die Ausfuhr von Kulturgut ist unrechtmäßig, wenn sie unter Verstoß gegen § 21 erfolgt oder unter Verstoß gegen Verordnungen der Europäischen Union, die die grenzüberschreitende Verbringung von Kulturgut ausdrücklich einschränken oder verbieten.</w:t>
      </w:r>
    </w:p>
    <w:p>
      <w:r>
        <w:t xml:space="preserve">(2) Einer unrechtmäßigen Ausfuhr stehen auch jede nicht erfolgte Rückkehr nach Ablauf der Frist für eine vorübergehende rechtmäßige Ausfuhr und jeder Verstoß gegen eine Nebenbestimmung zur Genehmigung der vorübergehenden Ausfuhr gleich.</w:t>
      </w:r>
    </w:p>
    <w:p>
      <w:r>
        <w:rPr>
          <w:color w:val="555555"/>
          <w:sz w:val="17"/>
        </w:rPr>
        <w:t xml:space="preserve">Zitiervorschlag: § 31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