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KGSG — Ausnahmen vom Einfuhrverbot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Einfuhrverbot ist nicht anzuwenden auf Kulturgut, das</w:t>
      </w:r>
    </w:p>
    <w:p>
      <w:pPr>
        <w:ind w:left="420"/>
      </w:pPr>
      <w:r>
        <w:t xml:space="preserve">1. sich zum 6. August 2016 rechtmäßig im Bundesgebiet befunden hat, soweit nicht unmittelbar geltende Rechtsakte der Europäischen Union Abweichendes anordnen, oder</w:t>
      </w:r>
    </w:p>
    <w:p>
      <w:pPr>
        <w:ind w:left="420"/>
      </w:pPr>
      <w:r>
        <w:t xml:space="preserve">2. zum Schutz vor den Gefahren eines bewaffneten Konflikts im Sinne des Abschnitts II Nummer 5 des Protokolls zur Haager Konvention im Bundesgebiet deponiert werden soll, um es zeitweilig zu verwahren.</w:t>
      </w:r>
    </w:p>
    <w:p>
      <w:r>
        <w:rPr>
          <w:color w:val="555555"/>
          <w:sz w:val="17"/>
        </w:rPr>
        <w:t xml:space="preserve">Zitiervorschlag: § 29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