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KGSG — Genehmigung der Ausfuhr von kirchlichem Kulturgut</w:t>
      </w:r>
    </w:p>
    <w:p>
      <w:r>
        <w:rPr>
          <w:color w:val="555555"/>
          <w:sz w:val="18"/>
        </w:rPr>
        <w:t xml:space="preserve">Kulturgutschutzgesetz</w:t>
      </w:r>
    </w:p>
    <w:p>
      <w:r>
        <w:rPr>
          <w:color w:val="555555"/>
          <w:sz w:val="18"/>
        </w:rPr>
        <w:t xml:space="preserve">Stand: 10.06.2019 (konsolidierte Textfassung, kein amtliches Inkrafttretensdatum)</w:t>
      </w:r>
    </w:p>
    <w:p>
      <w:r>
        <w:t xml:space="preserve">(1) Für die vorübergehende Ausfuhr von nationalem Kulturgut, das sich im Eigentum einer Kirche oder einer als Körperschaft des öffentlichen Rechts anerkannten Religionsgemeinschaft befindet, erteilt die Kirche oder Religionsgemeinschaft die Genehmigung nach § 22 im Benehmen mit der zuständigen Landesbehörde.</w:t>
      </w:r>
    </w:p>
    <w:p>
      <w:r>
        <w:t xml:space="preserve">(2) Bei einem Verfahren zur Genehmigung nach § 23 für die dauerhafte Ausfuhr von nationalem Kulturgut nach § 6 Absatz 1 Nummer 1 in Verbindung mit § 9 Absatz 1 wird bei Kulturgut, das sich im Eigentum einer Kirche oder einer als Körperschaft des öffentlichen Rechts anerkannten Religionsgemeinschaft befindet, abweichend von § 23 Absatz 4 Satz 2 ausschließlich die betroffene Kirche oder die als Körperschaft des öffentlichen Rechts anerkannte Religionsgemeinschaft angehört. Sofern es sich um nationales Kulturgut nach § 9 Absatz 3 handelt, erteilt die Kirche oder Religionsgemeinschaft die Genehmigung im Benehmen mit der zuständigen obersten Landesbehörde.</w:t>
      </w:r>
    </w:p>
    <w:p>
      <w:r>
        <w:t xml:space="preserve">(3) Die Kirchen und die als Körperschaften des öffentlichen Rechts anerkannten Religionsgemeinschaften können beantragen, dass für Kulturgut, das sich in ihrem Eigentum befindet, die Genehmigung für die Ausfuhr in einen Mitgliedstaat nach § 24 Absatz 1 Nummer 2 nicht erforderlich ist. In diesem Falle ist eine nachträgliche Eintragung in ein Verzeichnis national wertvollen Kulturgutes nach § 8 ausgeschlossen.</w:t>
      </w:r>
    </w:p>
    <w:p>
      <w:r>
        <w:t xml:space="preserve">(4) Die §§ 25 und 26 sind für Kirchen und die als Körperschaft des öffentlichen Rechts anerkannten Religionsgemeinschaften sowie für die von ihnen beaufsichtigten Einrichtungen und Organisationen mit der Maßgabe entsprechend anzuwenden, dass die Genehmigung nur im Einvernehmen mit der zuständigen Kirche oder Religionsgemeinschaft erteilt werden kann.</w:t>
      </w:r>
    </w:p>
    <w:p>
      <w:r>
        <w:rPr>
          <w:color w:val="555555"/>
          <w:sz w:val="17"/>
        </w:rPr>
        <w:t xml:space="preserve">Zitiervorschlag: § 27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