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KGSG — Spezifische offene Genehmigung</w:t>
      </w:r>
    </w:p>
    <w:p>
      <w:r>
        <w:rPr>
          <w:color w:val="555555"/>
          <w:sz w:val="18"/>
        </w:rPr>
        <w:t xml:space="preserve">Kulturgutschutzgesetz</w:t>
      </w:r>
    </w:p>
    <w:p>
      <w:r>
        <w:rPr>
          <w:color w:val="555555"/>
          <w:sz w:val="18"/>
        </w:rPr>
        <w:t xml:space="preserve">Stand: 23.07.2025 (konsolidierte Textfassung, kein amtliches Inkrafttretensdatum)</w:t>
      </w:r>
    </w:p>
    <w:p>
      <w:r>
        <w:t xml:space="preserve">(1) Für die regelmäßige vorübergehende Ausfuhr von Kulturgut kann die zuständige oberste Landesbehörde dem Eigentümer oder rechtmäßigen unmittelbaren Besitzer auf Antrag eine zeitlich befristete, auf ein bestimmtes Kulturgut bezogene Genehmigung (spezifische offene Genehmigung) erteilen, wenn das Kulturgut im Ausland wiederholt verwendet oder ausgestellt werden soll.</w:t>
      </w:r>
    </w:p>
    <w:p>
      <w:r>
        <w:t xml:space="preserve">(2) Die spezifische offene Genehmigung kann erteilt werden für die Ausfuhr in Mitgliedstaaten oder Drittstaaten.</w:t>
      </w:r>
    </w:p>
    <w:p>
      <w:r>
        <w:t xml:space="preserve">(3) Die Genehmigung darf nur erteilt werden, wenn der Antragsteller die Gewähr dafür bietet, dass das zur vorübergehenden Ausfuhr bestimmte Kulturgut in unbeschadetem Zustand und fristgerecht wiedereingeführt wird.</w:t>
      </w:r>
    </w:p>
    <w:p>
      <w:r>
        <w:t xml:space="preserve">(4) Die Geltungsdauer einer spezifischen offenen Genehmigung darf fünf Jahre nicht überschreiten.</w:t>
      </w:r>
    </w:p>
    <w:p>
      <w:r>
        <w:rPr>
          <w:color w:val="555555"/>
          <w:sz w:val="17"/>
        </w:rPr>
        <w:t xml:space="preserve">Zitiervorschlag: § 26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