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KGSG — Genehmigungspflichtige Ausfuhr von Kulturgut; Verordnungsermächtigung</w:t>
      </w:r>
    </w:p>
    <w:p>
      <w:r>
        <w:rPr>
          <w:color w:val="555555"/>
          <w:sz w:val="18"/>
        </w:rPr>
        <w:t xml:space="preserve">Kulturgutschutzgesetz</w:t>
      </w:r>
    </w:p>
    <w:p>
      <w:r>
        <w:rPr>
          <w:color w:val="555555"/>
          <w:sz w:val="18"/>
        </w:rPr>
        <w:t xml:space="preserve">Stand: 23.07.2025 (konsolidierte Textfassung, kein amtliches Inkrafttretensdatum)</w:t>
      </w:r>
    </w:p>
    <w:p>
      <w:r>
        <w:t xml:space="preserve">(1) Genehmigungspflichtig ist die Ausfuhr von Kulturgut</w:t>
      </w:r>
    </w:p>
    <w:p>
      <w:pPr>
        <w:ind w:left="420"/>
      </w:pPr>
      <w:r>
        <w:t xml:space="preserve">1. in einen Drittstaat nach der unmittelbar geltenden Verordnung (EG) Nr. 116/2009 des Rates vom 18. Dezember 2008 über die Ausfuhr von Kulturgütern (kodifizierte Fassung) (ABl. L 39 vom 10.2.2009, S. 1),</w:t>
      </w:r>
    </w:p>
    <w:p>
      <w:pPr>
        <w:ind w:left="420"/>
      </w:pPr>
      <w:r>
        <w:t xml:space="preserve">2. in einen Mitgliedstaat, sofern das Kulturgut den Kriterien nach Absatz 2 bei Ausfuhr in den Binnenmarkt unterfällt und nicht Eigentum des Urhebers oder Herstellers ist.</w:t>
      </w:r>
    </w:p>
    <w:p>
      <w:r>
        <w:t xml:space="preserve">(2) Für die Ausfuhr in den Binnenmarkt sind die Altersuntergrenzen und das Doppelte der Wertuntergrenzen nach Anhang I der Verordnung (EG) Nr. 116/2009 mit der Maßgabe anzuwenden, dass bei den nachstehenden Kategorien folgende weiter heraufgesetzte Mindestuntergrenzen bei Kulturgut nach Anhang I Kategorie A gelten:</w:t>
      </w:r>
    </w:p>
    <w:p>
      <w:pPr>
        <w:ind w:left="420"/>
      </w:pPr>
      <w:r>
        <w:t xml:space="preserve">1. Nummer 3: 75 Jahre und 300 000 Euro;</w:t>
      </w:r>
    </w:p>
    <w:p>
      <w:pPr>
        <w:ind w:left="420"/>
      </w:pPr>
      <w:r>
        <w:t xml:space="preserve">2. die Nummern 4 und 7: 75 Jahre und 100 000 Euro;</w:t>
      </w:r>
    </w:p>
    <w:p>
      <w:pPr>
        <w:ind w:left="420"/>
      </w:pPr>
      <w:r>
        <w:t xml:space="preserve">3. die Nummern 5, 6, 8 und 9: 75 Jahre und 50 000 Euro;</w:t>
      </w:r>
    </w:p>
    <w:p>
      <w:pPr>
        <w:ind w:left="420"/>
      </w:pPr>
      <w:r>
        <w:t xml:space="preserve">4. Nummer 12: 50 Jahre und 50 000 Euro;</w:t>
      </w:r>
    </w:p>
    <w:p>
      <w:pPr>
        <w:ind w:left="420"/>
      </w:pPr>
      <w:r>
        <w:t xml:space="preserve">5. Nummer 14: 150 Jahre und 100 000 Euro;</w:t>
      </w:r>
    </w:p>
    <w:p>
      <w:pPr>
        <w:ind w:left="420"/>
      </w:pPr>
      <w:r>
        <w:t xml:space="preserve">6. Nummer 15: 100 Jahre und 100 000 Euro.</w:t>
      </w:r>
    </w:p>
    <w:p>
      <w:r>
        <w:t xml:space="preserve">Münzen gelten nicht als archäologische Gegenstände nach Kategorie 1 des Anhangs I der Verordnung (EG) Nr. 116/2009, wenn es sie in großer Stückzahl gibt, sie für die Archäologie keinen relevanten Erkenntniswert haben und nicht von einem Mitgliedstaat als individualisierbare Einzelobjekte unter Schutz gestellt sind. Im Übrigen sind die Kategorien nach Absatz 2 Satz 1 im Lichte der Auslegung der Kategorien des Anhangs I der Verordnung (EG) Nr. 116/2009 anzuwenden.</w:t>
      </w:r>
    </w:p>
    <w:p>
      <w:r>
        <w:t xml:space="preserve">(3) Das für Kultur und Medien zuständige Mitglied der Bundesregierung wird ermächtigt, die Wertgrenzen zur Anpassung an die Preisentwicklungen in den für die in Absatz 2 Satz 1 genannten Kategorien relevanten Märkten in einer Rechtsverordnung, die der Zustimmung des Bundesrates bedarf, anzuheben.</w:t>
      </w:r>
    </w:p>
    <w:p>
      <w:r>
        <w:t xml:space="preserve">(4) Der für die Genehmigungspflicht nach Absatz 1 maßgebliche finanzielle Wert des Kulturgutes ist der innerhalb der letzten drei Jahre gezahlte Preis bei einem An- oder Verkauf, in sonstigen Fällen ein begründeter inländischer Schätzwert zum Zeitpunkt der Antragstellung.</w:t>
      </w:r>
    </w:p>
    <w:p>
      <w:r>
        <w:t xml:space="preserve">(5) Die Genehmigung ist zu erteilen, wenn zum Zeitpunkt der Entscheidung über den Antrag kein Ausfuhrverbot nach § 21 Nummer 1, 3, 4 und 5 besteht.</w:t>
      </w:r>
    </w:p>
    <w:p>
      <w:r>
        <w:t xml:space="preserve">(6) Zuständig für die Erteilung der Genehmigung nach Absatz 1 ist die oberste Landesbehörde des Landes, in dem sich das Kulturgut zum Zeitpunkt der Antragstellung befindet, sofern sich in Fällen des Absatzes 1 Nummer 1 keine andere Zuständigkeit aus Artikel 2 der Verordnung (EG) Nr. 116/2009 ergibt. Als Ort der Belegenheit wird der Wohnort oder Sitz des Antragstellers widerleglich vermutet. § 22 Absatz 4 Satz 2 ist entsprechend anzuwenden.</w:t>
      </w:r>
    </w:p>
    <w:p>
      <w:r>
        <w:t xml:space="preserve">(7) Über den Antrag auf Erteilung der Genehmigung hat die oberste Landesbehörde innerhalb von zehn Arbeitstagen nach Einreichung der vollständigen Antragsunterlagen zu entscheiden. Diese Landesbehörde kann die Zuständigkeit nach Maßgabe des Landesrechts auf eine andere Landesbehörde übertragen.</w:t>
      </w:r>
    </w:p>
    <w:p>
      <w:r>
        <w:t xml:space="preserve">(8) Die Genehmigungspflicht nach Absatz 1 Nummer 2 entfällt, wenn das Kulturgut sich nachweisbar nur vorübergehend bis zu zwei Jahre im Bundesgebiet befindet. Dies gilt nicht für Kulturgut, das</w:t>
      </w:r>
    </w:p>
    <w:p>
      <w:pPr>
        <w:ind w:left="420"/>
      </w:pPr>
      <w:r>
        <w:t xml:space="preserve">1. unrechtmäßig eingeführt wurde (§ 32) oder</w:t>
      </w:r>
    </w:p>
    <w:p>
      <w:pPr>
        <w:ind w:left="420"/>
      </w:pPr>
      <w:r>
        <w:t xml:space="preserve">2. zuvor ohne Genehmigung nach Absatz 1 ausgeführt wurde.</w:t>
      </w:r>
    </w:p>
    <w:p>
      <w:r>
        <w:t xml:space="preserve">(9) § 22 Absatz 5 und 6 ist entsprechend anzuwenden.</w:t>
      </w:r>
    </w:p>
    <w:p>
      <w:r>
        <w:rPr>
          <w:color w:val="555555"/>
          <w:sz w:val="17"/>
        </w:rPr>
        <w:t xml:space="preserve">Zitiervorschlag: § 24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