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KGSG — Ausfuhrverbot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Ausfuhr von Kulturgut ist verboten, wenn</w:t>
      </w:r>
    </w:p>
    <w:p>
      <w:pPr>
        <w:ind w:left="420"/>
      </w:pPr>
      <w:r>
        <w:t xml:space="preserve">1. für das Kulturgut das Verfahren zur Eintragung in ein Verzeichnis national wertvollen Kulturgutes eingeleitet worden ist und die Entscheidung über die Eintragung noch nicht unanfechtbar geworden ist,</w:t>
      </w:r>
    </w:p>
    <w:p>
      <w:pPr>
        <w:ind w:left="420"/>
      </w:pPr>
      <w:r>
        <w:t xml:space="preserve">2. für das Kulturgut keine nach den §§ 22, 23, 24, 27 Absatz 1 bis 3 erforderliche Genehmigung vorliegt oder nach den §§ 25, 26 oder § 27 Absatz 4 erteilt worden ist,</w:t>
      </w:r>
    </w:p>
    <w:p>
      <w:pPr>
        <w:ind w:left="420"/>
      </w:pPr>
      <w:r>
        <w:t xml:space="preserve">3. das Kulturgut nach § 32 Absatz 1 unrechtmäßig eingeführt worden ist,</w:t>
      </w:r>
    </w:p>
    <w:p>
      <w:pPr>
        <w:ind w:left="420"/>
      </w:pPr>
      <w:r>
        <w:t xml:space="preserve">4. das Kulturgut nach § 33 Absatz 1 sichergestellt ist oder</w:t>
      </w:r>
    </w:p>
    <w:p>
      <w:pPr>
        <w:ind w:left="420"/>
      </w:pPr>
      <w:r>
        <w:t xml:space="preserve">5. das Kulturgut nach § 81 Absatz 4 angehalten wird.</w:t>
      </w:r>
    </w:p>
    <w:p>
      <w:r>
        <w:rPr>
          <w:color w:val="555555"/>
          <w:sz w:val="17"/>
        </w:rPr>
        <w:t xml:space="preserve">Zitiervorschlag: § 21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