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KGSG — Mitteilungspflichten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Der unmittelbare Besitzer eines Kulturgutes, das in ein Verzeichnis national wertvollen Kulturgutes eingetragen ist, ist verpflichtet, der zuständigen obersten Landesbehörde unverzüglich das Abhandenkommen, die Zerstörung, die Beschädigung oder die nicht nur unerhebliche und nicht nur vorübergehende Veränderung des Erscheinungsbildes des Kulturgutes mitzuteilen. Bei Besitzwechsel ist der neue, hilfsweise der frühere unmittelbare Besitzer, zur Mitteilung verpflichtet.</w:t>
      </w:r>
    </w:p>
    <w:p>
      <w:r>
        <w:t xml:space="preserve">(2) Sind der Eigentümer und der unmittelbare Besitzer des Kulturgutes nicht dieselbe Person, so gilt die Mitteilungspflicht nach Absatz 1 hilfsweise auch für den Eigentümer.</w:t>
      </w:r>
    </w:p>
    <w:p>
      <w:r>
        <w:t xml:space="preserve">(3) Bei einem Eigentumswechsel ist der neue Eigentümer des Kulturgutes, hilfsweise der frühere Eigentümer, verpflichtet, der zuständigen obersten Landesbehörde diesen Eigentumswechsel unverzüglich mitzuteilen.</w:t>
      </w:r>
    </w:p>
    <w:p>
      <w:r>
        <w:t xml:space="preserve">(4) Die Absätze 1 bis 3 sind entsprechend anzuwenden, wenn für ein Kulturgut das Verfahren zur Eintragung in ein Verzeichnis national wertvollen Kulturgutes eingeleitet ist.</w:t>
      </w:r>
    </w:p>
    <w:p>
      <w:r>
        <w:rPr>
          <w:color w:val="555555"/>
          <w:sz w:val="17"/>
        </w:rPr>
        <w:t xml:space="preserve">Zitiervorschlag: § 19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