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KGSG — Beschädigungsverbot</w:t>
      </w:r>
    </w:p>
    <w:p>
      <w:r>
        <w:rPr>
          <w:color w:val="555555"/>
          <w:sz w:val="18"/>
        </w:rPr>
        <w:t xml:space="preserve">Kulturgutschutzgesetz</w:t>
      </w:r>
    </w:p>
    <w:p>
      <w:r>
        <w:rPr>
          <w:color w:val="555555"/>
          <w:sz w:val="18"/>
        </w:rPr>
        <w:t xml:space="preserve">Stand: 10.06.2019 (konsolidierte Textfassung, kein amtliches Inkrafttretensdatum)</w:t>
      </w:r>
    </w:p>
    <w:p>
      <w:r>
        <w:t xml:space="preserve">(1) Es ist verboten, Kulturgut, das in ein Verzeichnis national wertvollen Kulturgutes eingetragen ist, zu zerstören, zu beschädigen oder dessen Erscheinungsbild nicht nur unerheblich und nicht nur vorübergehend zu verändern, sofern dieses nicht zur fachgerechten Konservierung und Restaurierung oder zur Forschung nach anerkannten wissenschaftlichen Standards erfolgt. § 304 Absatz 1 und 2 des Strafgesetzbuches bleibt unberührt.</w:t>
      </w:r>
    </w:p>
    <w:p>
      <w:r>
        <w:t xml:space="preserve">(2) Absatz 1 gilt auch, wenn für ein Kulturgut das Verfahren zur Eintragung in ein Verzeichnis national wertvollen Kulturgutes eingeleitet ist.</w:t>
      </w:r>
    </w:p>
    <w:p>
      <w:r>
        <w:rPr>
          <w:color w:val="555555"/>
          <w:sz w:val="17"/>
        </w:rPr>
        <w:t xml:space="preserve">Zitiervorschlag: § 18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