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KGSG — Löschung der Eintragung</w:t>
      </w:r>
    </w:p>
    <w:p>
      <w:r>
        <w:rPr>
          <w:color w:val="555555"/>
          <w:sz w:val="18"/>
        </w:rPr>
        <w:t xml:space="preserve">Kulturgutschutzgesetz</w:t>
      </w:r>
    </w:p>
    <w:p>
      <w:r>
        <w:rPr>
          <w:color w:val="555555"/>
          <w:sz w:val="18"/>
        </w:rPr>
        <w:t xml:space="preserve">Stand: 10.06.2019 (konsolidierte Textfassung, kein amtliches Inkrafttretensdatum)</w:t>
      </w:r>
    </w:p>
    <w:p>
      <w:r>
        <w:t xml:space="preserve">(1) Haben sich die das Kulturgut betreffenden Umstände, die zur Eintragung des Kulturgutes in ein Verzeichnis national wertvollen Kulturgutes geführt haben, wesentlich verändert, so kann die Eintragung von Amts wegen oder auf Antrag des Eigentümers von der obersten Landesbehörde gelöscht werden.</w:t>
      </w:r>
    </w:p>
    <w:p>
      <w:r>
        <w:t xml:space="preserve">(2) Eine Änderung wesentlicher Umstände nach Absatz 1 ist stets gegeben, wenn rechtskräftig oder durch eine abschließende Regelung der Beteiligten im Hinblick auf einen Entzug festgestellt ist, dass das Kulturgut zwischen dem 30. Januar 1933 und dem 8. Mai 1945 aufgrund der Verfolgung durch den Nationalsozialismus einem früheren Eigentümer entzogen worden ist und es aus dem Bundesgebiet ausgeführt werden soll, um es an außerhalb des Bundesgebietes lebende ursprüngliche Eigentümer oder deren dort lebende Rechtsnachfolger zurückzugeben.</w:t>
      </w:r>
    </w:p>
    <w:p>
      <w:r>
        <w:t xml:space="preserve">(3) Ist Kulturgut nach § 11 Absatz 2 in das Verzeichnis eines anderen Landes übertragen worden, so gibt die oberste Landesbehörde vor ihrer Entscheidung über die Löschung der ursprünglich für die Eintragung zuständigen obersten Landesbehörde die Gelegenheit zur Stellungnahme.</w:t>
      </w:r>
    </w:p>
    <w:p>
      <w:r>
        <w:t xml:space="preserve">(4) Für das Verfahren zur Löschung der Eintragung ist § 14 Absatz 1 bis 5 entsprechend anzuwenden.</w:t>
      </w:r>
    </w:p>
    <w:p>
      <w:r>
        <w:rPr>
          <w:color w:val="555555"/>
          <w:sz w:val="17"/>
        </w:rPr>
        <w:t xml:space="preserve">Zitiervorschlag: § 13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