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KGSG — Anwendungsbereich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regelt</w:t>
      </w:r>
    </w:p>
    <w:p>
      <w:pPr>
        <w:ind w:left="420"/>
      </w:pPr>
      <w:r>
        <w:t xml:space="preserve">1. den Schutz nationalen Kulturgutes gegen Abwanderung,</w:t>
      </w:r>
    </w:p>
    <w:p>
      <w:pPr>
        <w:ind w:left="420"/>
      </w:pPr>
      <w:r>
        <w:t xml:space="preserve">2. die Ein- und Ausfuhr von Kulturgut,</w:t>
      </w:r>
    </w:p>
    <w:p>
      <w:pPr>
        <w:ind w:left="420"/>
      </w:pPr>
      <w:r>
        <w:t xml:space="preserve">3. das Inverkehrbringen von Kulturgut,</w:t>
      </w:r>
    </w:p>
    <w:p>
      <w:pPr>
        <w:ind w:left="420"/>
      </w:pPr>
      <w:r>
        <w:t xml:space="preserve">4. die Rückgabe unrechtmäßig eingeführten Kulturgutes,</w:t>
      </w:r>
    </w:p>
    <w:p>
      <w:pPr>
        <w:ind w:left="420"/>
      </w:pPr>
      <w:r>
        <w:t xml:space="preserve">5. die Rückgabe unrechtmäßig ausgeführten Kulturgutes und</w:t>
      </w:r>
    </w:p>
    <w:p>
      <w:pPr>
        <w:ind w:left="420"/>
      </w:pPr>
      <w:r>
        <w:t xml:space="preserve">6. die Rückgabezusage im internationalen Leihverkehr.</w:t>
      </w:r>
    </w:p>
    <w:p>
      <w:r>
        <w:rPr>
          <w:color w:val="555555"/>
          <w:sz w:val="17"/>
        </w:rPr>
        <w:t xml:space="preserve">Zitiervorschlag: § 1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