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KG (Bayern) — Inkrafttreten, Außerkrafttreten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März 1998 in Kraft. Es gilt für alle Kosten, die nach diesem Zeitpunkt entstehen.</w:t>
      </w:r>
    </w:p>
    <w:p>
      <w:r>
        <w:t xml:space="preserve">(2) Gleichzeitig tritt das Kostengesetz in der Fassung der Bekanntmachung vom 25. Juni 1969 (BayRS 2013-1-1-F), zuletzt geändert durch Art. 9 des Gesetzes vom 26. Juli 1995 (GVBl S. 353), außer Kraft.</w:t>
      </w:r>
    </w:p>
    <w:p>
      <w:r>
        <w:t xml:space="preserve">(3) Die Verordnung über das Zufließen und die Überlassung von Kosten (Gebühren und Auslagen) nach Art. 1 Abs. 2 Satz 2 des Kostengesetzes (ZuflÜV) vom 9. August 1996 (GVBl S. 388, ber. S. 477, BayRS 2013-1-15-F) wird aufgehoben.</w:t>
      </w:r>
    </w:p>
    <w:p>
      <w:r>
        <w:rPr>
          <w:color w:val="555555"/>
          <w:sz w:val="17"/>
        </w:rPr>
        <w:t xml:space="preserve">Zitiervorschlag: Art 28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