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KG (Bayern) — Erhebung von Kosten in anderen Fällen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findet auf die Erhebung von Kosten nach anderen Vorschriften entsprechende Anwendung, soweit dort nichts Abweichendes bestimmt ist.</w:t>
      </w:r>
    </w:p>
    <w:p>
      <w:r>
        <w:t xml:space="preserve">(2) Für den Bereich der Justizverwaltung findet der Erste Abschnitt dieses Gesetzes nur insoweit Anwendung, als dies in Gesetzen oder Rechtsverordnungen ausdrücklich bestimmt ist.</w:t>
      </w:r>
    </w:p>
    <w:p>
      <w:r>
        <w:t xml:space="preserve">(3) In Fällen, in denen der Bund von seiner Ermächtigung zum Erlass einer Regelung von Gebühren und Auslagen keinen Gebrauch macht und in denen die Landesregierungen zum Erlass entsprechender Vorschriften ermächtigt sind, gilt Art. 5 entsprechend, soweit nichts Abweichendes bestimmt ist.</w:t>
      </w:r>
    </w:p>
    <w:p>
      <w:r>
        <w:rPr>
          <w:color w:val="555555"/>
          <w:sz w:val="17"/>
        </w:rPr>
        <w:t xml:space="preserve">Zitiervorschlag: Art 27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