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KG (Bayern) — Kostenerhebung durch kommunale Körperschaften des öffentlichen Rechts</w:t>
      </w:r>
    </w:p>
    <w:p>
      <w:r>
        <w:rPr>
          <w:color w:val="555555"/>
          <w:sz w:val="18"/>
        </w:rPr>
        <w:t xml:space="preserve">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Gemeinden, Landkreise, Bezirke, Zweckverbände und sonstigen kommunalen Körperschaften und Anstalten des öffentlichen Rechts können für ihre Amtshandlungen im eigenen Wirkungskreis Kosten erheben, die in ihre Kassen fließen; die Erhebung der Kosten ist durch Kostensatzungen zu regeln.</w:t>
      </w:r>
    </w:p>
    <w:p>
      <w:r>
        <w:t xml:space="preserve">(2) Das Staatsministerium des Innern, für Sport und Integration kann für kommunale Körperschaften Mustersatzungen erlassen.</w:t>
      </w:r>
    </w:p>
    <w:p>
      <w:r>
        <w:t xml:space="preserve">(3) Die Art. 2, 3, 4 und 5 Abs. 2 bis 7 sowie die Art. 6 bis 19 und Art. 21 Abs. 3 Satz 2 finden entsprechende Anwendung.</w:t>
      </w:r>
    </w:p>
    <w:p>
      <w:r>
        <w:rPr>
          <w:color w:val="555555"/>
          <w:sz w:val="17"/>
        </w:rPr>
        <w:t xml:space="preserve">Zitiervorschlag: Art 20 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