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13 KG (Bayern) — Festsetzungsverjährung</w:t>
      </w:r>
    </w:p>
    <w:p>
      <w:r>
        <w:rPr>
          <w:color w:val="555555"/>
          <w:sz w:val="18"/>
        </w:rPr>
        <w:t xml:space="preserve">Kostengesetz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Eine Kostenentscheidung, ihre Aufhebung oder ihre Änderung sind nicht mehr zulässig, wenn die Festsetzungsfrist abgelaufen ist (Festsetzungsverjährung). Die Festsetzungsfrist beträgt vier Jahre, sie beginnt mit Ablauf des Kalenderjahres, in dem der Kostenanspruch entstanden ist. Die Festsetzungsfrist läuft nicht ab, solange</w:t>
      </w:r>
    </w:p>
    <w:p>
      <w:r>
        <w:t xml:space="preserve">1. über einen vor Ablauf der Frist gestellten Antrag auf Aufhebung oder Änderung der Festsetzung nicht unanfechtbar entschieden ist;</w:t>
      </w:r>
    </w:p>
    <w:p>
      <w:r>
        <w:t xml:space="preserve">2. der Anspruch wegen höherer Gewalt innerhalb der letzten sechs Monate der Verjährungsfrist nicht verfolgt werden kann.</w:t>
      </w:r>
    </w:p>
    <w:p>
      <w:r>
        <w:rPr>
          <w:color w:val="555555"/>
          <w:sz w:val="17"/>
        </w:rPr>
        <w:t xml:space="preserve">Zitiervorschlag: Art 13 KG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https://recht.nulegal.eu/gesetze/KG/13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