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KFV</w:t>
      </w:r>
    </w:p>
    <w:p>
      <w:r>
        <w:rPr>
          <w:color w:val="555555"/>
          <w:sz w:val="18"/>
        </w:rPr>
        <w:t xml:space="preserve">Kleine-Fahrgastschiffe-Verordnung</w:t>
      </w:r>
    </w:p>
    <w:p>
      <w:r>
        <w:rPr>
          <w:color w:val="555555"/>
          <w:sz w:val="18"/>
        </w:rPr>
        <w:t xml:space="preserve">Stand: 26.07.2025 (konsolidierte Textfassung, kein amtliches Inkrafttretensdatum)</w:t>
      </w:r>
    </w:p>
    <w:p>
      <w:r>
        <w:t xml:space="preserve">Die Generaldirektion Wasserstraßen und Schifffahrt verordnet aufgrund des § 3 Absatz 1 Nummer 2 der Binnenschiffspersonalverordnung vom 26. November 2021 (BGBl. I S. 4982, 5204; 2023 I Nr. 144), die zuletzt durch Artikel 5 der Verordnung vom 23. Juli 2024 (BGBl. 2024 I Nr. 253) geändert worden ist:</w:t>
      </w:r>
    </w:p>
    <w:p>
      <w:r>
        <w:rPr>
          <w:color w:val="555555"/>
          <w:sz w:val="17"/>
        </w:rPr>
        <w:t xml:space="preserve">Zitiervorschlag: Eingangsformel 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