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KFV — Inkrafttreten</w:t>
      </w:r>
    </w:p>
    <w:p>
      <w:r>
        <w:rPr>
          <w:color w:val="555555"/>
          <w:sz w:val="18"/>
        </w:rPr>
        <w:t xml:space="preserve">Kleine-Fahrgastschiffe-Verordnung</w:t>
      </w:r>
    </w:p>
    <w:p>
      <w:r>
        <w:rPr>
          <w:color w:val="555555"/>
          <w:sz w:val="18"/>
        </w:rPr>
        <w:t xml:space="preserve">Stand: 26.07.2025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