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KFV — Außerkrafttreten</w:t>
      </w:r>
    </w:p>
    <w:p>
      <w:r>
        <w:rPr>
          <w:color w:val="555555"/>
          <w:sz w:val="18"/>
        </w:rPr>
        <w:t xml:space="preserve">Kleine-Fahrgastschiffe-Verordnung</w:t>
      </w:r>
    </w:p>
    <w:p>
      <w:r>
        <w:rPr>
          <w:color w:val="555555"/>
          <w:sz w:val="18"/>
        </w:rPr>
        <w:t xml:space="preserve">Stand: 26.07.2025 (konsolidierte Textfassung, kein amtliches Inkrafttretensdatum)</w:t>
      </w:r>
    </w:p>
    <w:p>
      <w:r>
        <w:t xml:space="preserve">Diese Verordnung tritt mit Ablauf des 25. Juli 2028 außer Kraft.</w:t>
      </w:r>
    </w:p>
    <w:p>
      <w:r>
        <w:rPr>
          <w:color w:val="555555"/>
          <w:sz w:val="17"/>
        </w:rPr>
        <w:t xml:space="preserve">Zitiervorschlag: § 8 KFV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