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KFV — Evaluierung</w:t>
      </w:r>
    </w:p>
    <w:p>
      <w:r>
        <w:rPr>
          <w:color w:val="555555"/>
          <w:sz w:val="18"/>
        </w:rPr>
        <w:t xml:space="preserve">Kleine-Fahrgastschiffe-Verordnung</w:t>
      </w:r>
    </w:p>
    <w:p>
      <w:r>
        <w:rPr>
          <w:color w:val="555555"/>
          <w:sz w:val="18"/>
        </w:rPr>
        <w:t xml:space="preserve">Stand: 26.07.2025 (konsolidierte Textfassung, kein amtliches Inkrafttretensdatum)</w:t>
      </w:r>
    </w:p>
    <w:p>
      <w:r>
        <w:t xml:space="preserve">Die Regelungen dieser Rechtsverordnung sind durch die zuständige Behörde nach § 4 der Binnenschiffspersonalverordnung im Anschluss an ihr Außerkrafttreten zu evaluieren. Im Rahmen der Evaluation ist insbesondere die Anzahl der erworbenen Kleinschifferzeugnisse nach dieser Verordnung zu ermitteln und die Zweckmäßigkeit der Regelungen dieser Verordnung für die Personalgewinnung zu beurteilen.</w:t>
      </w:r>
    </w:p>
    <w:p>
      <w:r>
        <w:rPr>
          <w:color w:val="555555"/>
          <w:sz w:val="17"/>
        </w:rPr>
        <w:t xml:space="preserve">Zitiervorschlag: § 7 KFV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