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KFV — Besatzungsvorschriften für Fahrgastschiffe mit einer Länge von weniger als 35 Metern</w:t>
      </w:r>
    </w:p>
    <w:p>
      <w:r>
        <w:rPr>
          <w:color w:val="555555"/>
          <w:sz w:val="18"/>
        </w:rPr>
        <w:t xml:space="preserve">Kleine-Fahrgastschiffe-Verordnung</w:t>
      </w:r>
    </w:p>
    <w:p>
      <w:r>
        <w:rPr>
          <w:color w:val="555555"/>
          <w:sz w:val="18"/>
        </w:rPr>
        <w:t xml:space="preserve">Stand: 26.07.2025 (konsolidierte Textfassung, kein amtliches Inkrafttretensdatum)</w:t>
      </w:r>
    </w:p>
    <w:p>
      <w:r>
        <w:t xml:space="preserve">§ 96 Absatz 2 der Binnenschiffspersonalverordnung gilt für die Besatzung auf Fahrgastschiffen mit einer Länge von weniger als 35 Metern entsprechend.</w:t>
      </w:r>
    </w:p>
    <w:p>
      <w:r>
        <w:rPr>
          <w:color w:val="555555"/>
          <w:sz w:val="17"/>
        </w:rPr>
        <w:t xml:space="preserve">Zitiervorschlag: § 5 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