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KFV — Abweichende Regelungen zu den Voraussetzungen für den Erwerb des Kleinschifferzeugnisses</w:t>
      </w:r>
    </w:p>
    <w:p>
      <w:r>
        <w:rPr>
          <w:color w:val="555555"/>
          <w:sz w:val="18"/>
        </w:rPr>
        <w:t xml:space="preserve">Kleine-Fahrgastschiffe-Verordnung</w:t>
      </w:r>
    </w:p>
    <w:p>
      <w:r>
        <w:rPr>
          <w:color w:val="555555"/>
          <w:sz w:val="18"/>
        </w:rPr>
        <w:t xml:space="preserve">Stand: 26.07.2025 (konsolidierte Textfassung, kein amtliches Inkrafttretensdatum)</w:t>
      </w:r>
    </w:p>
    <w:p>
      <w:r>
        <w:t xml:space="preserve">(1) Abweichend von § 24 Absatz 1 Satz 2 der Binnenschiffspersonalverordnung dürfen die Tauglichkeitsuntersuchungen zum Erwerb des Kleinschifferzeugnisses für kleine Fahrgastschiffe vorbehaltlich des § 21 Absatz 5 der Binnenschiffspersonalverordnung nur von Ärzten oder Ärztinnen durchgeführt werden, die hierzu nach § 24 Absatz 1 Satz 1 der Binnenschiffspersonalverordnung von der Berufsgenossenschaft zugelassen sind.</w:t>
      </w:r>
    </w:p>
    <w:p>
      <w:r>
        <w:t xml:space="preserve">(2) Wer das Kleinschifferzeugnis für kleine Fahrgastschiffe erwerben möchte, muss abweichend von § 39 Absatz 1 Nummer 5 der Binnenschiffspersonalverordnung</w:t>
      </w:r>
    </w:p>
    <w:p>
      <w:pPr>
        <w:ind w:left="420"/>
      </w:pPr>
      <w:r>
        <w:t xml:space="preserve">1. das Unionsbefähigungszeugnis über die Befähigung als Matrose oder Matrosin nach der Binnenschiffspersonalverordnung oder nach den Rechtsvorschriften der anderen Mitgliedsstaaten der Europäischen Union zur Umsetzung der Richtlinie (EU) 2017/2397 besitzen und</w:t>
      </w:r>
    </w:p>
    <w:p>
      <w:pPr>
        <w:ind w:left="420"/>
      </w:pPr>
      <w:r>
        <w:t xml:space="preserve">2. eine Fahrzeit von</w:t>
      </w:r>
    </w:p>
    <w:p>
      <w:pPr>
        <w:ind w:left="780"/>
      </w:pPr>
      <w:r>
        <w:t xml:space="preserve">a) mindestens 360 Tagen nachweisen oder</w:t>
      </w:r>
    </w:p>
    <w:p>
      <w:pPr>
        <w:ind w:left="780"/>
      </w:pPr>
      <w:r>
        <w:t xml:space="preserve">b) mindestens 120 Tagen nachweisen, sofern zusätzlich eine als Mitglied einer Decksmannschaft auf einem Seeschiff erworbene Berufserfahrung von mindestens 330 Tagen nachgewiesen ist.</w:t>
      </w:r>
    </w:p>
    <w:p>
      <w:r>
        <w:t xml:space="preserve">Die Voraussetzungen nach § 39 Absatz 1 Nummer 1 bis 3 der Binnenschiffspersonalverordnung sind zu erfüllen.</w:t>
      </w:r>
    </w:p>
    <w:p>
      <w:r>
        <w:rPr>
          <w:color w:val="555555"/>
          <w:sz w:val="17"/>
        </w:rPr>
        <w:t xml:space="preserve">Zitiervorschlag: § 2 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