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KFV — Abweichende Regelung zum Geltungsbereich des Kleinschifferzeugnisses</w:t>
      </w:r>
    </w:p>
    <w:p>
      <w:r>
        <w:rPr>
          <w:color w:val="555555"/>
          <w:sz w:val="18"/>
        </w:rPr>
        <w:t xml:space="preserve">Kleine-Fahrgastschiffe-Verordnung</w:t>
      </w:r>
    </w:p>
    <w:p>
      <w:r>
        <w:rPr>
          <w:color w:val="555555"/>
          <w:sz w:val="18"/>
        </w:rPr>
        <w:t xml:space="preserve">Stand: 26.07.2025 (konsolidierte Textfassung, kein amtliches Inkrafttretensdatum)</w:t>
      </w:r>
    </w:p>
    <w:p>
      <w:r>
        <w:t xml:space="preserve">Abweichend von § 15 Absatz 5 Satz 1 der Binnenschiffspersonalverordnung berechtigt das nach Maßgabe dieser Verordnung erworbene Kleinschifferzeugnis zum Führen von Fahrgastschiffen, wenn deren Länge weniger als 35 Meter beträgt und sie für höchstens 150 Fahrgäste zugelassen sind (kleines Fahrgastschiff). Dies gilt nicht auf dem Rhein.</w:t>
      </w:r>
    </w:p>
    <w:p>
      <w:r>
        <w:rPr>
          <w:color w:val="555555"/>
          <w:sz w:val="17"/>
        </w:rPr>
        <w:t xml:space="preserve">Zitiervorschlag: § 1 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