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KFS (Nordrhein-Westfalen)</w:t>
      </w:r>
    </w:p>
    <w:p>
      <w:r>
        <w:rPr>
          <w:color w:val="555555"/>
          <w:sz w:val="18"/>
        </w:rPr>
        <w:t xml:space="preserve">Kommissionsfinanzierungssatzung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25. Juni 2008</w:t>
      </w:r>
    </w:p>
    <w:p>
      <w:r>
        <w:t xml:space="preserve">Aufgrund von § 35 Abs. 10 Satz 4 des Staatsvertrages über Rundfunk und Telemedien (Rundfunkstaatsvertrag – RStV- ) vom 31. August 1991 (GV. NRW. S. 408) in der Fassung des 10. Rundfunkänderungsstaatsvertrages vom 19. Dezember 2007 (GV. NRW. 2008 S. 517) erlässt auf Empfehlung der Gesamtkonferenz vom 25. Juni 2008 die Landesanstalt für Medien Nordrhein-Westfalen (LfM) folgende Satzung zur Ausführung von § 35 Abs. 10 Satz 1 - 3 RStV:</w:t>
      </w:r>
    </w:p>
    <w:p>
      <w:r>
        <w:rPr>
          <w:color w:val="555555"/>
          <w:sz w:val="17"/>
        </w:rPr>
        <w:t xml:space="preserve">Zitiervorschlag: Volltext KFS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