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KFS (Nordrhein-Westfalen) — Buchführende Stelle</w:t>
      </w:r>
    </w:p>
    <w:p>
      <w:r>
        <w:rPr>
          <w:color w:val="555555"/>
          <w:sz w:val="18"/>
        </w:rPr>
        <w:t xml:space="preserve">Kommissionsfinanzierungssatzung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Inkrafttreten dieser Satzung wird eine Buchführende Stelle eingerichtet. Die Buchführende Stelle hat ihren Sitz am Ort der gemeinsamen Geschäftsstelle nach § 35 Abs. 7 Satz 1 RStV. Die Geschäfte der Buchführenden Stelle nimmt die/der gesetzliche Vertreter/in der Landesmedienanstalt wahr, die/der von der Direktorenkonferenz der Landesmedienanstalten (DLM) mit der Mehrheit von zwei Dritteln ihrer Mitglieder dazu für drei Jahre beauftragt wird. Die Beauftragung kann wiederholt erfolgen. Sie/Er ist Beauftragte/r für den Haushalt und wird durch die gemeinsame Geschäftsstelle unterstützt.</w:t>
      </w:r>
    </w:p>
    <w:p>
      <w:r>
        <w:t xml:space="preserve">(2) Die Buchführende Stelle ist ermächtigt, Rechtsgeschäfte zur Erfüllung des Zwecks dieser Satzung mit Wirkung für und gegen die Landesmedienanstalten abzuschließen. Im Rahmen von § 5 Abs. 3 kann die Buchführende Stelle den Leitern/innen der Geschäftsstellen nach § 35 Abs. 7 RStV Untervollmacht erteilen.</w:t>
      </w:r>
    </w:p>
    <w:p>
      <w:r>
        <w:rPr>
          <w:color w:val="555555"/>
          <w:sz w:val="17"/>
        </w:rPr>
        <w:t xml:space="preserve">Zitiervorschlag: § 2 KFS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