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KFBauMechAusbV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25 Absatz 1 Satz 1 der Handwerksordnung, der zuletzt durch Artikel 2 Nummer 1 des Gesetzes vom 9. November 2022 (BGBl. I S. 2009) geändert worden ist, und</w:t>
      </w:r>
    </w:p>
    <w:p>
      <w:pPr>
        <w:ind w:left="420"/>
      </w:pPr>
      <w:r>
        <w:t xml:space="preserve">–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</w:t>
      </w:r>
    </w:p>
    <w:p>
      <w:r>
        <w:t xml:space="preserve">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