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KFBauMechAusbV — Aufteilung in zwei Teile und Zeitpunkt</w:t>
      </w:r>
    </w:p>
    <w:p>
      <w:r>
        <w:rPr>
          <w:color w:val="555555"/>
          <w:sz w:val="18"/>
        </w:rPr>
        <w:t xml:space="preserve">Karosserie- und Fahrzeugbaumechanikerausbildungsverordnung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Die Abschluss- oder Gesellenprüfung besteht aus den Teilen 1 und 2.</w:t>
      </w:r>
    </w:p>
    <w:p>
      <w:r>
        <w:t xml:space="preserve">(2) Teil 1 soll im vierten Ausbildungshalbjahr stattfinden.</w:t>
      </w:r>
    </w:p>
    <w:p>
      <w:r>
        <w:t xml:space="preserve">(3) Teil 2 findet am Ende der Berufsausbildung statt.</w:t>
      </w:r>
    </w:p>
    <w:p>
      <w:r>
        <w:t xml:space="preserve">(4) Den jeweiligen Zeitpunkt legt die zuständige Stelle fest.</w:t>
      </w:r>
    </w:p>
    <w:p>
      <w:r>
        <w:rPr>
          <w:color w:val="555555"/>
          <w:sz w:val="17"/>
        </w:rPr>
        <w:t xml:space="preserve">Zitiervorschlag: § 6 KFBauMechAusbV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https://recht.nulegal.eu/gesetze/KFBauMechAusbV/6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