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KFBauMechAusbV — Gegenstand der Berufsausbildung und Ausbildungsrahmenplan</w:t>
      </w:r>
    </w:p>
    <w:p>
      <w:r>
        <w:rPr>
          <w:color w:val="555555"/>
          <w:sz w:val="18"/>
        </w:rPr>
        <w:t xml:space="preserve">Karosserie- und Fahrzeugbaumechanikerausbildungsverordnung</w:t>
      </w:r>
    </w:p>
    <w:p>
      <w:r>
        <w:rPr>
          <w:color w:val="555555"/>
          <w:sz w:val="18"/>
        </w:rPr>
        <w:t xml:space="preserve">Stand: 01.08.2023 (konsolidierte Textfassung, kein amtliches Inkrafttretensdatum)</w:t>
      </w:r>
    </w:p>
    <w:p>
      <w:r>
        <w:t xml:space="preserve">(1) Gegenstand der Berufsausbildung sind mindestens die im Ausbildungsrahmenplan der Anlage 1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KFBauMechAusbV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https://recht.nulegal.eu/gesetze/KFBauMechAusbV/3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