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KFBauMechAusbV — Gewichtung der Prüfungsbereiche und Anforderungen für das Bestehen der Abschluss- oder Gesellenprüfung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Arbeitsauftrag    mit 20 Prozent,</w:t>
      </w:r>
    </w:p>
    <w:p>
      <w:r>
        <w:rPr>
          <w:rFonts w:ascii="Courier New" w:hAnsi="Courier New"/>
          <w:sz w:val="17"/>
        </w:rPr>
        <w:t xml:space="preserve">Auftragsplanung    mit 10 Prozent,</w:t>
      </w:r>
    </w:p>
    <w:p>
      <w:r>
        <w:rPr>
          <w:rFonts w:ascii="Courier New" w:hAnsi="Courier New"/>
          <w:sz w:val="17"/>
        </w:rPr>
        <w:t xml:space="preserve">Kundenauftrag    mit 40 Prozent,</w:t>
      </w:r>
    </w:p>
    <w:p>
      <w:r>
        <w:rPr>
          <w:rFonts w:ascii="Courier New" w:hAnsi="Courier New"/>
          <w:sz w:val="17"/>
        </w:rPr>
        <w:t xml:space="preserve">Karosserie- und Fahrzeugbautechnik    mit 20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Abschluss- oder Gesellenprüfung ist bestanden, wenn die Prüfungsleistungen, auch unter Berücksichtigung einer mündlichen Ergänzungsprüfung nach § 24,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einem weiteren Prüfungsbereich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oder nach § 35a Absatz 1 Nummer 3 der Handwerksordnung zu fassen.</w:t>
      </w:r>
    </w:p>
    <w:p>
      <w:r>
        <w:rPr>
          <w:color w:val="555555"/>
          <w:sz w:val="17"/>
        </w:rPr>
        <w:t xml:space="preserve">Zitiervorschlag: § 23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