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KFBauMechAusbV — Gewichtung der Prüfungsbereiche und Anforderungen für das Bestehen der Abschluss- oder Gesellenprüfung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Arbeitsauftrag    mit 20 Prozent,</w:t>
      </w:r>
    </w:p>
    <w:p>
      <w:r>
        <w:rPr>
          <w:rFonts w:ascii="Courier New" w:hAnsi="Courier New"/>
          <w:sz w:val="17"/>
        </w:rPr>
        <w:t xml:space="preserve">Auftragsplanung    mit 10 Prozent,</w:t>
      </w:r>
    </w:p>
    <w:p>
      <w:r>
        <w:rPr>
          <w:rFonts w:ascii="Courier New" w:hAnsi="Courier New"/>
          <w:sz w:val="17"/>
        </w:rPr>
        <w:t xml:space="preserve">Kundenauftrag    mit 40 Prozent,</w:t>
      </w:r>
    </w:p>
    <w:p>
      <w:r>
        <w:rPr>
          <w:rFonts w:ascii="Courier New" w:hAnsi="Courier New"/>
          <w:sz w:val="17"/>
        </w:rPr>
        <w:t xml:space="preserve">Karosserieinstandhaltungstechnik    mit 20 Prozent</w:t>
      </w:r>
    </w:p>
    <w:p>
      <w:pPr>
        <w:ind w:left="420"/>
      </w:pPr>
      <w:r>
        <w:t xml:space="preserve">4. sowie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5. (2) Die Abschluss- oder Gesellenprüfung ist bestanden, wenn die Prüfungsleistungen, auch unter Berücksichtigung einer mündlichen Ergänzungsprüfung nach § 17, wie folgt bewertet worden sind:</w:t>
      </w:r>
    </w:p>
    <w:p>
      <w:pPr>
        <w:ind w:left="420"/>
      </w:pPr>
      <w:r>
        <w:t xml:space="preserve">1. im Gesamtergebnis von Teil 1 und Teil 2 mit mindestens „ausreichend“,</w:t>
      </w:r>
    </w:p>
    <w:p>
      <w:pPr>
        <w:ind w:left="420"/>
      </w:pPr>
      <w:r>
        <w:t xml:space="preserve">2. im Ergebnis von Teil 2 mit mindestens „ausreichend“,</w:t>
      </w:r>
    </w:p>
    <w:p>
      <w:pPr>
        <w:ind w:left="420"/>
      </w:pPr>
      <w:r>
        <w:t xml:space="preserve">3. im Prüfungsbereich Kundenauftrag mit mindestens „ausreichend“,</w:t>
      </w:r>
    </w:p>
    <w:p>
      <w:pPr>
        <w:ind w:left="420"/>
      </w:pPr>
      <w:r>
        <w:t xml:space="preserve">4. in mindestens einem weiteren Prüfungsbereich von Teil 2 mit mindestens „ausreichend“ und</w:t>
      </w:r>
    </w:p>
    <w:p>
      <w:pPr>
        <w:ind w:left="420"/>
      </w:pPr>
      <w:r>
        <w:t xml:space="preserve">5. in keinem Prüfungsbereich von Teil 2 mit „ungenügend“.</w:t>
      </w:r>
    </w:p>
    <w:p>
      <w:r>
        <w:t xml:space="preserve">Über das Bestehen ist ein Beschluss nach § 42 Absatz 1 Nummer 3 des Berufsbildungsgesetzes oder nach § 35a Absatz 1 Nummer 3 der Handwerksordnung zu fassen.</w:t>
      </w:r>
    </w:p>
    <w:p>
      <w:r>
        <w:rPr>
          <w:color w:val="555555"/>
          <w:sz w:val="17"/>
        </w:rPr>
        <w:t xml:space="preserve">Zitiervorschlag: § 16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