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KFBauMechAusbV — Prüfungsbereiche des Teiles 2 in der Fachrichtung Karosserieinstandhaltungstechnik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Teil 2 der Abschluss- oder Gesellenprüfung findet in den folgenden Prüfungsbereichen statt:</w:t>
      </w:r>
    </w:p>
    <w:p>
      <w:pPr>
        <w:ind w:left="420"/>
      </w:pPr>
      <w:r>
        <w:t xml:space="preserve">1. Kundenauftrag,</w:t>
      </w:r>
    </w:p>
    <w:p>
      <w:pPr>
        <w:ind w:left="420"/>
      </w:pPr>
      <w:r>
        <w:t xml:space="preserve">2. Karosserieinstandhaltungstechnik und</w:t>
      </w:r>
    </w:p>
    <w:p>
      <w:pPr>
        <w:ind w:left="420"/>
      </w:pPr>
      <w:r>
        <w:t xml:space="preserve">3. Wirtschafts- und Sozialkunde.</w:t>
      </w:r>
    </w:p>
    <w:p>
      <w:r>
        <w:rPr>
          <w:color w:val="555555"/>
          <w:sz w:val="17"/>
        </w:rPr>
        <w:t xml:space="preserve">Zitiervorschlag: § 12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