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KFürsV — Schulausbildung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(1) Beschädigte erhalten Leistungen</w:t>
      </w:r>
    </w:p>
    <w:p>
      <w:pPr>
        <w:ind w:left="420"/>
      </w:pPr>
      <w:r>
        <w:t xml:space="preserve">1. zum Besuch einer mittleren oder höheren Schule, wenn der in Aussicht genommene Beruf dies erfordert,</w:t>
      </w:r>
    </w:p>
    <w:p>
      <w:pPr>
        <w:ind w:left="420"/>
      </w:pPr>
      <w:r>
        <w:t xml:space="preserve">2. zum Besuch einer sonstigen allgemein- oder berufsbildenden Schule, wenn und soweit infolge der Schädigung ein besonderer Aufwand entsteht.</w:t>
      </w:r>
    </w:p>
    <w:p>
      <w:r>
        <w:t xml:space="preserve">(2) Leistungen zu sonstigen Maßnahmen zur Vermittlung schulischen Wissens erhalten Beschädigte, wenn ihnen wegen Art oder Schwere der Schädigung der Besuch einer allgemein- oder berufsbildenden Schule nicht möglich ist.</w:t>
      </w:r>
    </w:p>
    <w:p>
      <w:r>
        <w:rPr>
          <w:color w:val="555555"/>
          <w:sz w:val="17"/>
        </w:rPr>
        <w:t xml:space="preserve">Zitiervorschlag: § 9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