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 KFürsV — Übergangsregelung</w:t>
      </w:r>
    </w:p>
    <w:p>
      <w:r>
        <w:rPr>
          <w:color w:val="555555"/>
          <w:sz w:val="18"/>
        </w:rPr>
        <w:t xml:space="preserve">Verordnung zur Kriegsopferfürsorge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(1) (gegenstandslos)</w:t>
      </w:r>
    </w:p>
    <w:p>
      <w:r>
        <w:t xml:space="preserve">(2) Neue Ansprüche auf laufende Leistungen, die sich auf Grund dieser Verordnung ergeben, werden nur auf Antrag festgestellt.</w:t>
      </w:r>
    </w:p>
    <w:p>
      <w:r>
        <w:t xml:space="preserve">(3) (gegenstandslos)</w:t>
      </w:r>
    </w:p>
    <w:p>
      <w:r>
        <w:rPr>
          <w:color w:val="555555"/>
          <w:sz w:val="17"/>
        </w:rPr>
        <w:t xml:space="preserve">Zitiervorschlag: § 59 KFürsV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https://recht.nulegal.eu/gesetze/KF%C3%BCrsV/59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