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KFürsV — Rundungsvorschriften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(1) Bei der Feststellung der Einkommensgrenze sind die Beträge nach § 25e Abs. 1 Nr. 1 bis 3 des Bundesversorgungsgesetzes und § 27d Abs. 5 des Bundesversorgungsgesetzes jeweils auf volle Euro zu runden. Entsprechendes gilt für die Feststellung des Höchstbetrags der Einkommensgrenze nach § 25e Abs. 1 des Bundesversorgungsgesetzes und der kleineren Barbeträge und sonstigen Geldwerte nach § 25f Abs. 2 und Absatz 4 des Bundesversorgungsgesetzes.</w:t>
      </w:r>
    </w:p>
    <w:p>
      <w:r>
        <w:t xml:space="preserve">(2) Die Freibeträge nach den Vorschriften des Unterabschnitts 1 sowie nach § 24 sind auf volle Euro zu runden. Das gilt beim Zusammentreffen von Freibeträgen auch hinsichtlich der einzelnen Freibeträge.</w:t>
      </w:r>
    </w:p>
    <w:p>
      <w:r>
        <w:t xml:space="preserve">(3) Bei der Rundung nach Absatz 1 und 2 sind Beträge bis zu 0,49 Euro abzurunden und von 0,50 Euro an aufzurunden.</w:t>
      </w:r>
    </w:p>
    <w:p>
      <w:r>
        <w:t xml:space="preserve">(4) Häusliche Ersparnisse nach § 25e Abs. 4 und § 27b Abs. 3 des Bundesversorgungsgesetzes sind auf volle Euro abzurunden.</w:t>
      </w:r>
    </w:p>
    <w:p>
      <w:r>
        <w:t xml:space="preserve">(5) Die Erhöhungsbeträge nach § 44 sind auf den nächst höheren durch 50 Euro teilbaren Betrag aufzurunden.</w:t>
      </w:r>
    </w:p>
    <w:p>
      <w:r>
        <w:rPr>
          <w:color w:val="555555"/>
          <w:sz w:val="17"/>
        </w:rPr>
        <w:t xml:space="preserve">Zitiervorschlag: § 52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