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KFürsV — Berufliche Anpassung</w:t>
      </w:r>
    </w:p>
    <w:p>
      <w:r>
        <w:rPr>
          <w:color w:val="555555"/>
          <w:sz w:val="18"/>
        </w:rPr>
        <w:t xml:space="preserve">Verordnung zur Kriegsopferfürsorge</w:t>
      </w:r>
    </w:p>
    <w:p>
      <w:r>
        <w:rPr>
          <w:color w:val="555555"/>
          <w:sz w:val="18"/>
        </w:rPr>
        <w:t xml:space="preserve">Historische Fassung: Stand 10.06.2019 bis 01.01.2024. Dies ist nicht die aktuelle Fassung.</w:t>
      </w:r>
    </w:p>
    <w:p>
      <w:r>
        <w:t xml:space="preserve">Durch Maßnahmen der beruflichen Anpassung sind Beschädigten vor allem Fähigkeiten und Kenntnisse zu vermitteln, die notwendig sind, um die infolge der Schädigung eingetretenen Lücken im beruflichen Wissen zu schließen, berufliche Fertigkeiten wieder zu erlangen, Fähigkeiten und Fertigkeiten an die fortgeschrittene Entwicklung der Technik anzupassen oder einer anderen Tätigkeit im erlernten oder ausgeübten Beruf nachzugehen.</w:t>
      </w:r>
    </w:p>
    <w:p>
      <w:r>
        <w:rPr>
          <w:color w:val="555555"/>
          <w:sz w:val="17"/>
        </w:rPr>
        <w:t xml:space="preserve">Zitiervorschlag: § 5 KFürsV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https://recht.nulegal.eu/gesetze/KF%C3%BCrsV/5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