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KFürsV — Dauer des Bedarfs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Bei Leistungen der Kriegsopferfürsorge für einen Zeitraum von mehr als 6 Monaten kann vom einzusetzenden Einkommen ein Betrag in Höhe von 0,6 vom Hundert des Bemessungsbetrags abgesetzt werden. Das gilt nicht bei der Erziehungsbeihilfe nach § 27 des Bundesversorgungsgesetzes, bei der ergänzenden Hilfe zum Lebensunterhalt nach § 27a des Bundesversorgungsgesetzes und bei den Hilfen in besonderen Lebenslagen nach § 27d des Bundesversorgungsgesetzes, die den Lebensunterhalt umfassen.</w:t>
      </w:r>
    </w:p>
    <w:p>
      <w:r>
        <w:rPr>
          <w:color w:val="555555"/>
          <w:sz w:val="17"/>
        </w:rPr>
        <w:t xml:space="preserve">Zitiervorschlag: § 47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