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KFürsV — Besondere Tatkraft bei Erzielung von Erwerbseinkommen</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Sind Beschädigte, Witwen, Witwer, hinterbliebene Lebenspartner oder Waisen erwerbstätig, ist zum Ausgleich der besonderen Tatkraft bei Erzielung von Erwerbseinkommen vom einzusetzenden Einkommen ein der Art oder Schwere der Folgen der Schädigung angemessener Freibetrag abzusetzen. Satz 1 gilt auch bei einer Unterbrechung der Erwerbstätigkeit bis zu 6 Monaten, wenn das Arbeitsverhältnis fortbesteht und bis zur Unterbrechung der Erwerbstätigkeit ein Freibetrag abgesetzt war.</w:t>
      </w:r>
    </w:p>
    <w:p>
      <w:r>
        <w:t xml:space="preserve">(2) Als Freibetrag im Sinne des Absatzes 1 ist abzusetzen</w:t>
      </w:r>
    </w:p>
    <w:p>
      <w:pPr>
        <w:ind w:left="420"/>
      </w:pPr>
      <w:r>
        <w:t xml:space="preserve">1. bei Empfängern einer Pflegezulage nach § 35 des Bundesversorgungsgesetzes mindestens der Stufe III ein Betrag bis zur Höhe des Erwerbseinkommens, wenn es 0,6 vom Hundert des Bemessungsbetrags nicht übersteigt, sonst 0,6 vom Hundert des Bemessungsbetrags zuzüglich bis zu 25 vom Hundert des diesen Betrag übersteigenden Erwerbseinkommens,</w:t>
      </w:r>
    </w:p>
    <w:p>
      <w:pPr>
        <w:ind w:left="420"/>
      </w:pPr>
      <w:r>
        <w:t xml:space="preserve">2. bei anderen Beschädigten sowie bei Witwen, Witwern, hinterbliebenen Lebenspartnern und Waisen ein Betrag bis zur Höhe des Erwerbseinkommens, wenn es 0,5 vom Hundert des Bemessungsbetrags nicht übersteigt, sonst 0,5 vom Hundert des Bemessungsbetrags zuzüglich</w:t>
      </w:r>
    </w:p>
    <w:p>
      <w:pPr>
        <w:ind w:left="780"/>
      </w:pPr>
      <w:r>
        <w:t xml:space="preserve">a) bei Empfängern einer Pflegezulage der Stufe I oder II bis zu 20 vom Hundert,</w:t>
      </w:r>
    </w:p>
    <w:p>
      <w:pPr>
        <w:ind w:left="780"/>
      </w:pPr>
      <w:r>
        <w:t xml:space="preserve">b) bei Beschädigten mit einem Grad der Schädigungsfolgen von 80 bis 100 bis zu 15 vom Hundert,</w:t>
      </w:r>
    </w:p>
    <w:p>
      <w:pPr>
        <w:ind w:left="780"/>
      </w:pPr>
      <w:r>
        <w:t xml:space="preserve">c) bei Beschädigten mit einem Grad der Schädigungsfolgen von 50 bis 70 sowie für Witwen, Witwer, hinterbliebene Lebenspartner und Vollwaisen bis zu 10 vom Hundert,</w:t>
      </w:r>
    </w:p>
    <w:p>
      <w:pPr>
        <w:ind w:left="780"/>
      </w:pPr>
      <w:r>
        <w:t xml:space="preserve">d) bei Beschädigten mit einem Grad der Schädigungsfolgen von 30 bis 40 und für Halbwaisen bis zu 5 vom Hundert</w:t>
      </w:r>
    </w:p>
    <w:p>
      <w:r>
        <w:t xml:space="preserve">des diesen Betrag übersteigenden Erwerbseinkommens.</w:t>
      </w:r>
    </w:p>
    <w:p>
      <w:r>
        <w:t xml:space="preserve">(3) Ist bei Beschädigten das Leistungsvermögen durch schädigungsunabhängige Gesundheitsstörungen zusätzlich eingeschränkt oder sind Hinterbliebene trotz eingeschränkten Leistungsvermögens erwerbstätig, kann der Freibetrag nach Absatz 2 um 10 vom Hundert erhöht werden.</w:t>
      </w:r>
    </w:p>
    <w:p>
      <w:r>
        <w:t xml:space="preserve">(4) Der Freibetrag nach Absatz 2 und 3 soll einen Höchstbetrag nicht übersteigen, der sich ergibt aus einem Betrag</w:t>
      </w:r>
    </w:p>
    <w:p>
      <w:pPr>
        <w:ind w:left="420"/>
      </w:pPr>
      <w:r>
        <w:t xml:space="preserve">1. bei Berechtigten im Sinne von Absatz 2 Nr. 1 in Höhe von 2,6 vom Hundert,</w:t>
      </w:r>
    </w:p>
    <w:p>
      <w:pPr>
        <w:ind w:left="420"/>
      </w:pPr>
      <w:r>
        <w:t xml:space="preserve">2. bei sonstigen Sonderfürsorgeberechtigten in Höhe von 2,2 vom Hundert,</w:t>
      </w:r>
    </w:p>
    <w:p>
      <w:pPr>
        <w:ind w:left="420"/>
      </w:pPr>
      <w:r>
        <w:t xml:space="preserve">3. bei Berechtigten im Sinne von Absatz 2 Nr. 2 in Höhe von 1,6 vom Hundert des Bemessungsbetrags.</w:t>
      </w:r>
    </w:p>
    <w:p>
      <w:r>
        <w:t xml:space="preserve">(5) Ein Freibetrag nach Absatz 2 ist nicht abzusetzen vom einzusetzenden Einkommen, das Waisen und Kinder Beschädigter bei der Erziehungsbeihilfe nach § 27 des Bundesversorgungsgesetzes beziehen, sowie vom einzusetzenden Einkommen bei der ergänzenden Hilfe zum Lebensunterhalt nach § 27a des Bundesversorgungsgesetzes und bei den Hilfen in besonderen Lebenslagen nach § 27d des Bundesversorgungsgesetzes, die den Lebensunterhalt umfassen.</w:t>
      </w:r>
    </w:p>
    <w:p>
      <w:r>
        <w:rPr>
          <w:color w:val="555555"/>
          <w:sz w:val="17"/>
        </w:rPr>
        <w:t xml:space="preserve">Zitiervorschlag: § 45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