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KFürsV — Ausschluss des Einsatzes von Vermögen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Bei Barvermögen und sonstigen Geldwerten ist zum allgemeinen Ausgleich der geminderten Lebensstellung der jeweilige gesetzliche Schonbetrag wie folgt zu erhöhen:</w:t>
      </w:r>
    </w:p>
    <w:p>
      <w:pPr>
        <w:ind w:left="420"/>
      </w:pPr>
      <w:r>
        <w:t xml:space="preserve">1. bei Empfängern von Berufsschadens- und Schadensausgleich um 60 vom Hundert,</w:t>
      </w:r>
    </w:p>
    <w:p>
      <w:pPr>
        <w:ind w:left="420"/>
      </w:pPr>
      <w:r>
        <w:t xml:space="preserve">2. bei sonstigen Schwerbeschädigten und Hinterbliebenen um 30 vom Hundert und</w:t>
      </w:r>
    </w:p>
    <w:p>
      <w:pPr>
        <w:ind w:left="420"/>
      </w:pPr>
      <w:r>
        <w:t xml:space="preserve">3. bei sonstigen Beschädigten um 15 vom Hundert.</w:t>
      </w:r>
    </w:p>
    <w:p>
      <w:r>
        <w:t xml:space="preserve">(2) Bei Beschädigten, die wegen Art und Schwere der Schädigung zum Personenkreis der Sonderfürsorgeberechtigten gehören, beträgt der Erhöhungsbetrag 10 vom Hundert, jedoch bei</w:t>
      </w:r>
    </w:p>
    <w:p>
      <w:pPr>
        <w:ind w:left="420"/>
      </w:pPr>
      <w:r>
        <w:t xml:space="preserve">1. schwerbeschädigten Sonderfürsorgeberechtigten 20 vom Hundert,</w:t>
      </w:r>
    </w:p>
    <w:p>
      <w:pPr>
        <w:ind w:left="420"/>
      </w:pPr>
      <w:r>
        <w:t xml:space="preserve">2. Empfängern einer Pflegezulage der Stufe I oder II 30 vom Hundert,</w:t>
      </w:r>
    </w:p>
    <w:p>
      <w:pPr>
        <w:ind w:left="420"/>
      </w:pPr>
      <w:r>
        <w:t xml:space="preserve">3. Empfängern einer Pflegezulage der Stufe III oder IV 40 vom Hundert,</w:t>
      </w:r>
    </w:p>
    <w:p>
      <w:pPr>
        <w:ind w:left="420"/>
      </w:pPr>
      <w:r>
        <w:t xml:space="preserve">4. Empfängern einer Pflegezulage der Stufe V oder VI 50 vom Hundert</w:t>
      </w:r>
    </w:p>
    <w:p>
      <w:r>
        <w:t xml:space="preserve">des entsprechenden gesetzlichen Schonbetrages.</w:t>
      </w:r>
    </w:p>
    <w:p>
      <w:r>
        <w:t xml:space="preserve">(3) Die Erhöhungsbeträge nach Absatz 1 und 2 sind nebeneinander zu berücksichtigen.</w:t>
      </w:r>
    </w:p>
    <w:p>
      <w:r>
        <w:rPr>
          <w:color w:val="555555"/>
          <w:sz w:val="17"/>
        </w:rPr>
        <w:t xml:space="preserve">Zitiervorschlag: § 44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