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KFürsV — Art und Schwere der Schädigung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Bei Beschädigten, die wegen Art oder Schwere der Folgen der Schädigung zu dem Personenkreis des § 27e des Bundesversorgungsgesetzes gehören (Sonderfürsorgeberechtigte), ist vom einzusetzenden Einkommen ein zusätzlicher Freibetrag in Höhe von 0,5 vom Hundert, bei Empfängern von Pflegezulage nach § 35 des Bundesversorgungsgesetzes mindestens der Stufe III bis zu 1 vom Hundert und bei sonstigen Pflegezulageempfängern in Höhe von 0,75 vom Hundert des Bemessungsbetrags abzusetzen. § 42 bleibt unberührt.</w:t>
      </w:r>
    </w:p>
    <w:p>
      <w:r>
        <w:rPr>
          <w:color w:val="555555"/>
          <w:sz w:val="17"/>
        </w:rPr>
        <w:t xml:space="preserve">Zitiervorschlag: § 43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