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42 KFürsV — Geminderte Lebensstellung</w:t>
      </w:r>
    </w:p>
    <w:p>
      <w:r>
        <w:rPr>
          <w:color w:val="555555"/>
          <w:sz w:val="18"/>
        </w:rPr>
        <w:t xml:space="preserve">Verordnung zur Kriegsopferfürsorge</w:t>
      </w:r>
    </w:p>
    <w:p>
      <w:r>
        <w:rPr>
          <w:color w:val="555555"/>
          <w:sz w:val="18"/>
        </w:rPr>
        <w:t xml:space="preserve">Historische Fassung: Stand 10.06.2019 bis 01.01.2024. Dies ist nicht die aktuelle Fassung.</w:t>
      </w:r>
    </w:p>
    <w:p>
      <w:r>
        <w:t xml:space="preserve">(1) Zum allgemeinen Ausgleich der durch die Schädigung geminderten Lebensstellung ist vom einzusetzenden Einkommen ein Freibetrag abzusetzen, der folgenden Anteil des Bemessungsbetrags nach § 33 Absatz 1 Satz 2 Buchstabe a des Bundesversorgungsgesetzes beträgt:</w:t>
      </w:r>
    </w:p>
    <w:p>
      <w:pPr>
        <w:ind w:left="420"/>
      </w:pPr>
      <w:r>
        <w:t xml:space="preserve">1. 0,8 vom Hundert bei Beschädigten mit Bezug von Berufsschadensausgleich oder Hinterbliebenen mit Bezug von Schadensausgleich,</w:t>
      </w:r>
    </w:p>
    <w:p>
      <w:pPr>
        <w:ind w:left="420"/>
      </w:pPr>
      <w:r>
        <w:t xml:space="preserve">2. 0,4 vom Hundert bei Schwerbeschädigten und Hinterbliebenen und</w:t>
      </w:r>
    </w:p>
    <w:p>
      <w:pPr>
        <w:ind w:left="420"/>
      </w:pPr>
      <w:r>
        <w:t xml:space="preserve">3. 0,2 vom Hundert bei sonstigen Beschädigten.</w:t>
      </w:r>
    </w:p>
    <w:p>
      <w:r>
        <w:t xml:space="preserve">(2) Bei der ergänzenden Hilfe zum Lebensunterhalt nach § 27a des Bundesversorgungsgesetzes und bei den Hilfen in besonderen Lebenslagen nach § 27d des Bundesversorgungsgesetzes, die den Lebensunterhalt umfassen, beträgt der Freibetrag abweichend von Absatz 1 folgenden Anteil des Bemessungsbetrags:</w:t>
      </w:r>
    </w:p>
    <w:p>
      <w:pPr>
        <w:ind w:left="420"/>
      </w:pPr>
      <w:r>
        <w:t xml:space="preserve">1. 0,4 vom Hundert bei Beschädigten mit Bezug von Berufsschadensausgleich oder Hinterbliebenen mit Bezug von Schadensausgleich,</w:t>
      </w:r>
    </w:p>
    <w:p>
      <w:pPr>
        <w:ind w:left="420"/>
      </w:pPr>
      <w:r>
        <w:t xml:space="preserve">2. 0,2 vom Hundert bei Schwerbeschädigten und Hinterbliebenen und</w:t>
      </w:r>
    </w:p>
    <w:p>
      <w:pPr>
        <w:ind w:left="420"/>
      </w:pPr>
      <w:r>
        <w:t xml:space="preserve">3. 0,1 vom Hundert bei sonstigen Beschädigten.</w:t>
      </w:r>
    </w:p>
    <w:p>
      <w:r>
        <w:t xml:space="preserve">(3) Trifft ein Freibetrag nach Absatz 1 mit einem Freibetrag für Erwerbstätige nach § 24 oder einem Freibetrag nach § 45 Abs. 1 zusammen, darf die Summe der Freibeträge einen Betrag in Höhe von 2,25 vom Hundert, bei Empfängern von Pflegezulage nach § 35 des Bundesversorgungsgesetzes mindestens der Stufe III von 3,2 vom Hundert und bei sonstigen Sonderfürsorgeberechtigten von 2,6 vom Hundert des Bemessungsbetrags nicht übersteigen.</w:t>
      </w:r>
    </w:p>
    <w:p>
      <w:r>
        <w:t xml:space="preserve">(4) Bei Eltern ist vom einzusetzenden Einkommen neben dem Freibetrag nach Absatz 1 für einen Elternteil ein Freibetrag in Höhe von 0,33 vom Hundert des Bemessungsbetrags und für ein Elternpaar ein Freibetrag in Höhe des Zweifachen des Freibetrags für einen Elternteil abzusetzen. Satz 1 findet keine Anwendung bei der ergänzenden Hilfe zum Lebensunterhalt, soweit ein Freibetrag für Erwerbstätige nach § 24 anzuerkennen ist.</w:t>
      </w:r>
    </w:p>
    <w:p>
      <w:r>
        <w:rPr>
          <w:color w:val="555555"/>
          <w:sz w:val="17"/>
        </w:rPr>
        <w:t xml:space="preserve">Zitiervorschlag: § 42 KFürsV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https://recht.nulegal.eu/gesetze/KF%C3%BCrsV/42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