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 KFürsV — Berufsvorbereitung</w:t>
      </w:r>
    </w:p>
    <w:p>
      <w:r>
        <w:rPr>
          <w:color w:val="555555"/>
          <w:sz w:val="18"/>
        </w:rPr>
        <w:t xml:space="preserve">Verordnung zur Kriegsopferfürsorge</w:t>
      </w:r>
    </w:p>
    <w:p>
      <w:r>
        <w:rPr>
          <w:color w:val="555555"/>
          <w:sz w:val="18"/>
        </w:rPr>
        <w:t xml:space="preserve">Historische Fassung: Stand 10.06.2019 bis 01.01.2024. Dies ist nicht die aktuelle Fassung.</w:t>
      </w:r>
    </w:p>
    <w:p>
      <w:r>
        <w:t xml:space="preserve">(1) Durch Maßnahmen der Berufsvorbereitung ist Beschädigten der Zugang zur beruflichen Ausbildung oder Umschulung sowie zu einer beruflichen Tätigkeit zu ermöglichen oder zu erleichtern.</w:t>
      </w:r>
    </w:p>
    <w:p>
      <w:r>
        <w:t xml:space="preserve">(2) Maßnahmen der Berufsvorbereitung sind insbesondere</w:t>
      </w:r>
    </w:p>
    <w:p>
      <w:pPr>
        <w:ind w:left="420"/>
      </w:pPr>
      <w:r>
        <w:t xml:space="preserve">1. Grundausbildungslehrgänge zur Vorbereitung auf bestimmte Berufsbereiche,</w:t>
      </w:r>
    </w:p>
    <w:p>
      <w:pPr>
        <w:ind w:left="420"/>
      </w:pPr>
      <w:r>
        <w:t xml:space="preserve">2. Förderungslehrgänge für noch nicht berufsreife Beschädigte, von denen zu erwarten ist, daß sie nach Abschluß des Lehrgangs eine Ausbildung aufnehmen können,</w:t>
      </w:r>
    </w:p>
    <w:p>
      <w:pPr>
        <w:ind w:left="420"/>
      </w:pPr>
      <w:r>
        <w:t xml:space="preserve">3. Lehrgänge zur Verbesserung der Eingliederungsmöglichkeiten für Beschädigte, die den Anforderungen eines anerkannten Ausbildungsberufs nicht und der Arbeitsaufnahme oder einer Tätigkeit in einer Werkstatt für behinderte Menschen noch nicht gewachsen sind,</w:t>
      </w:r>
    </w:p>
    <w:p>
      <w:pPr>
        <w:ind w:left="420"/>
      </w:pPr>
      <w:r>
        <w:t xml:space="preserve">4. blindentechnische und vergleichbare spezielle Grundausbildungen.</w:t>
      </w:r>
    </w:p>
    <w:p>
      <w:r>
        <w:rPr>
          <w:color w:val="555555"/>
          <w:sz w:val="17"/>
        </w:rPr>
        <w:t xml:space="preserve">Zitiervorschlag: § 4 KFürsV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https://recht.nulegal.eu/gesetze/KF%C3%BCrsV/4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