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KFürsV — Einkünfte aus Kapitalvermögen</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Welche Einkünfte zu den Einkünften aus Kapitalvermögen gehören, bestimmt sich nach § 20 Abs. 1 bis 3 des Einkommensteuergesetzes.</w:t>
      </w:r>
    </w:p>
    <w:p>
      <w:r>
        <w:t xml:space="preserve">(2) Als Einkünfte aus Kapitalvermögen sind die Jahreseinnahmen anzusetzen, vermindert um die Kapitalertragsteuer sowie um die mit der Erzielung der Einkünfte verbundenen notwendigen Ausgaben (§ 25d Abs. 3 Nr. 4 des Bundesversorgungsgesetzes).</w:t>
      </w:r>
    </w:p>
    <w:p>
      <w:r>
        <w:t xml:space="preserve">(3) Die Einkünfte sind auf der Grundlage der vor dem Berechnungsjahr erzielten Einkünfte unter Berücksichtigung der im Berechnungsjahr bereits eingetretenen und noch zu erwartenden Veränderungen zu errechnen. Soweit im Einzelfall geboten, können hiervon abweichend die Einkünfte für das Berechnungsjahr auch nachträglich errechnet werden.</w:t>
      </w:r>
    </w:p>
    <w:p>
      <w:r>
        <w:t xml:space="preserve">(4) Einkünfte im Sinne des Absatzes 2 bleiben unberücksichtigt, wenn sie insgesamt jährlich 50 Euro nicht übersteigen.</w:t>
      </w:r>
    </w:p>
    <w:p>
      <w:r>
        <w:rPr>
          <w:color w:val="555555"/>
          <w:sz w:val="17"/>
        </w:rPr>
        <w:t xml:space="preserve">Zitiervorschlag: § 35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