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KFürsV — Einkünfte aus Land- und Forstwirtschaft, Gewerbebetrieb und selbständiger Arbeit</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Welche Einkünfte zu den Einkünften aus Land- und Forstwirtschaft, Gewerbebetrieb und selbständiger Arbeit gehören, bestimmt sich nach § 13 Abs. 1 und 2, § 15 Abs. 1 und § 18 Abs. 1 des Einkommensteuergesetzes; der Nutzungswert der Wohnung im eigenen Haus bleibt unberücksichtigt.</w:t>
      </w:r>
    </w:p>
    <w:p>
      <w:r>
        <w:t xml:space="preserve">(2) Die Einkünfte sind für das Jahr zu berechnen, in dem der Bedarfszeitraum liegt (Berechnungsjahr).</w:t>
      </w:r>
    </w:p>
    <w:p>
      <w:r>
        <w:t xml:space="preserve">(3) Für die Berechnung der Einkünfte im Berechnungsjahr ist von den Gewinnen auszugehen, die der letzten Veranlagung zur Einkommensteuer zugrunde gelegt worden sind. Den Gewinnen sind erhöhte Absetzungen, Sonderabschreibungen und steuerfreie Rücklagen nach Maßgabe des § 8 Abs. 1 Satz 3 und 4 der Verordnung zur Durchführung des § 33 des Bundesversorgungsgesetzes in der jeweils geltenden Fassung hinzuzurechnen. Der danach ermittelte Betrag ist um die Vomhundertsätze zu erhöhen, um die die laufenden Rentenleistungen nach § 56 des Bundesversorgungsgesetzes seit dem Ende des Jahres angepaßt worden sind, für das die letzte Veranlagung zur Einkommensteuer vorliegt.</w:t>
      </w:r>
    </w:p>
    <w:p>
      <w:r>
        <w:t xml:space="preserve">(4) Machen Leistungsberechtigte glaubhaft oder werden dem Träger der Kriegsopferfürsorge Tatsachen bekannt, daß das Einkommen im Berechnungsjahr voraussichtlich von dem nach Absatz 3 errechneten Betrag wesentlich abweicht, ist ein Betrag anzusetzen, der auf der Grundlage der durch das Finanzamt festgestellten Gewinne aus der Gegenüberstellung der im Rahmen des Betriebs im Berechnungsjahr bereits erzielten Einnahmen und geleisteten Ausgaben sowie der im Rahmen des Betriebs im Berechnungsjahr noch zu erwartenden Einnahmen und Ausgaben zu errechnen ist.</w:t>
      </w:r>
    </w:p>
    <w:p>
      <w:r>
        <w:t xml:space="preserve">(5) Findet eine Veranlagung zur Einkommensteuer nicht statt, haben Leistungsberechtigte die Gewinne nachzuweisen. Sind sie hierzu nicht in der Lage, sind die Gewinne im Benehmen mit dem Finanzamt zu schätzen.</w:t>
      </w:r>
    </w:p>
    <w:p>
      <w:r>
        <w:rPr>
          <w:color w:val="555555"/>
          <w:sz w:val="17"/>
        </w:rPr>
        <w:t xml:space="preserve">Zitiervorschlag: § 33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