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KFürsV — Einkünfte aus nichtselbständiger Arbeit</w:t>
      </w:r>
    </w:p>
    <w:p>
      <w:r>
        <w:rPr>
          <w:color w:val="555555"/>
          <w:sz w:val="18"/>
        </w:rPr>
        <w:t xml:space="preserve">Verordnung zur Kriegsopferfürsorge</w:t>
      </w:r>
    </w:p>
    <w:p>
      <w:r>
        <w:rPr>
          <w:color w:val="555555"/>
          <w:sz w:val="18"/>
        </w:rPr>
        <w:t xml:space="preserve">Historische Fassung: Stand 10.06.2019 bis 01.01.2024. Dies ist nicht die aktuelle Fassung.</w:t>
      </w:r>
    </w:p>
    <w:p>
      <w:r>
        <w:t xml:space="preserve">(1) Welche Einkünfte zu den Einkünften aus nichtselbständiger Arbeit gehören, bestimmt sich nach § 19 Abs. 1 Nr. 1 des Einkommensteuergesetzes.</w:t>
      </w:r>
    </w:p>
    <w:p>
      <w:r>
        <w:t xml:space="preserve">(2) Die auf Gewinn gerichtete Arbeit, die von einem Familienangehörigen land- und forstwirtschaftlicher oder gewerblicher Unternehmer oder Selbständiger geleistet wird, gilt als nichtselbständige Arbeit im Sinne des § 19 Abs. 1 Nr. 1 des Einkommensteuergesetzes. Wird keine oder eine unverhältnismäßig geringe Vergütung gewährt, ist der Wert der Arbeitsleistung unter Berücksichtigung der Gesamtverhältnisse zu schätzen. Dabei dient die einer gleichaltrigen Person für eine gleichartige Arbeit gleichen Umfangs in einem fremden Unternehmen ortsüblich gewährte Vergütung als Bewertungsmaßstab. In angemessenem Umfang sind verwertbare Arbeitskraft der Einkommensbezieher und wirtschaftliche Leistungsfähigkeit des Unternehmens zu berücksichtigen. Unternehmer im Sinne des Satzes 1 sind diejenigen, für deren Rechnung das Unternehmen geht.</w:t>
      </w:r>
    </w:p>
    <w:p>
      <w:r>
        <w:t xml:space="preserve">(3) Bei der Berechnung der Einkünfte ist von den monatlichen Bruttoeinnahmen auszugehen. Einmalige Einnahmen und Einnahmen, die in größeren als monatlichen Zeitabständen erzielt werden, sind in dem Monat zu berücksichtigen, in dem sie gezahlt werden, soweit nicht im Einzelfall eine andere Regelung angezeigt ist.</w:t>
      </w:r>
    </w:p>
    <w:p>
      <w:r>
        <w:t xml:space="preserve">(4) Zu den mit der Erzielung der Einkünfte aus nichtselbständiger Arbeit verbundenen Ausgaben im Sinne des § 25d Abs. 3 Nr. 4 des Bundesversorgungsgesetzes gehören vor allem</w:t>
      </w:r>
    </w:p>
    <w:p>
      <w:pPr>
        <w:ind w:left="420"/>
      </w:pPr>
      <w:r>
        <w:t xml:space="preserve">1. notwendige Aufwendungen für Arbeitsmittel,</w:t>
      </w:r>
    </w:p>
    <w:p>
      <w:pPr>
        <w:ind w:left="420"/>
      </w:pPr>
      <w:r>
        <w:t xml:space="preserve">2. notwendige Aufwendungen für Fahrten zwischen Wohnung und Arbeitsstätte,</w:t>
      </w:r>
    </w:p>
    <w:p>
      <w:pPr>
        <w:ind w:left="420"/>
      </w:pPr>
      <w:r>
        <w:t xml:space="preserve">3. notwendige Beiträge für Berufsverbände,</w:t>
      </w:r>
    </w:p>
    <w:p>
      <w:pPr>
        <w:ind w:left="420"/>
      </w:pPr>
      <w:r>
        <w:t xml:space="preserve">4. notwendige Mehraufwendungen infolge Führung eines doppelten Haushalts nach näherer Bestimmung des Absatzes 7.</w:t>
      </w:r>
    </w:p>
    <w:p>
      <w:r>
        <w:t xml:space="preserve">Ausgaben im Sinne des Satzes 1 sind nur insoweit vom Einkommen abzusetzen, als sie von dem Bezieher des Einkommens selbst getragen werden.</w:t>
      </w:r>
    </w:p>
    <w:p>
      <w:r>
        <w:t xml:space="preserve">(5) Als Aufwendungen für Arbeitsmittel kann ein monatlicher Pauschbetrag von 5,20 Euro abgesetzt werden, wenn nicht im Einzelfall höhere Aufwendungen nachgewiesen werden.</w:t>
      </w:r>
    </w:p>
    <w:p>
      <w:r>
        <w:t xml:space="preserve">(6) Wird für die Fahrt zwischen Wohnung und Arbeitsstätte ein eigenes Kraftfahrzeug benutzt und wäre sonst die Benutzung eines öffentlichen Verkehrsmittels notwendig, ist ein Betrag in Höhe der tariflich günstigsten Zeitkarte abzusetzen. Ist ein öffentliches Verkehrsmittel nicht vorhanden oder die Benutzung eines öffentlichen Verkehrsmittels im Einzelfall nicht zumutbar und deshalb die Benutzung eines eigenen Kraftfahrzeugs notwendig, sind als monatliche Pauschbeträge</w:t>
      </w:r>
    </w:p>
    <w:p>
      <w:pPr>
        <w:ind w:left="420"/>
      </w:pPr>
      <w:r>
        <w:t xml:space="preserve">1. bei Benutzung eines Kraftwagens 5,20 Euro,</w:t>
      </w:r>
    </w:p>
    <w:p>
      <w:pPr>
        <w:ind w:left="420"/>
      </w:pPr>
      <w:r>
        <w:t xml:space="preserve">2. bei Benutzung eines Kleinkraftwagens (drei- oder vierrädriges Kraftfahrzeug, dessen Motor einen Hubraum von nicht mehr als 500 ccm hat) 3,70 Euro,</w:t>
      </w:r>
    </w:p>
    <w:p>
      <w:pPr>
        <w:ind w:left="420"/>
      </w:pPr>
      <w:r>
        <w:t xml:space="preserve">3. bei Benutzung eines Motorrads oder eines Motorrollers 2,30 Euro,</w:t>
      </w:r>
    </w:p>
    <w:p>
      <w:pPr>
        <w:ind w:left="420"/>
      </w:pPr>
      <w:r>
        <w:t xml:space="preserve">4. bei Benutzung eines Fahrrads mit Motor 1,30 Euro</w:t>
      </w:r>
    </w:p>
    <w:p>
      <w:r>
        <w:t xml:space="preserve">für jeden vollen Kilometer, den die Wohnung von der Arbeitsstätte entfernt liegt, abzusetzen. Bei einer Beschäftigungsdauer von weniger als einem Monat sind die Beträge anteilmäßig zu kürzen.</w:t>
      </w:r>
    </w:p>
    <w:p>
      <w:r>
        <w:t xml:space="preserve">(7) Sind Einkommensbezieher außerhalb des Ortes beschäftigt, an dem sie einen eigenen Hausstand unterhalten, und können ihnen weder der Umzug noch die tägliche Rückkehr an den Ort des eigenen Hausstandes zugemutet werden, sind die durch Führung des doppelten Haushalts nachweislich entstehenden Mehraufwendungen sowie die unter Ausnutzung bestehender Tarifvergünstigungen entstehenden Aufwendungen für Fahrtkosten der zweiten Wagenklasse für eine Familienheimfahrt im Kalendermonat abzusetzen. Ein eigener Hausstand ist dann anzunehmen, wenn Einkommensbezieher eine Wohnung mit eigener oder selbstbeschaffter Möbelausstattung besitzen. Eine doppelte Haushaltsführung kann auch dann anerkannt werden, wenn Einkommensbezieher nachweislich ganz oder überwiegend die Kosten für einen Haushalt tragen, den sie gemeinsam mit nächsten Angehörigen führen.</w:t>
      </w:r>
    </w:p>
    <w:p>
      <w:r>
        <w:rPr>
          <w:color w:val="555555"/>
          <w:sz w:val="17"/>
        </w:rPr>
        <w:t xml:space="preserve">Zitiervorschlag: § 32 KFürsV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https://recht.nulegal.eu/gesetze/KF%C3%BCrsV/32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