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KFürsV — Klärung der beruflichen Eignung und Arbeitserprobung</w:t>
      </w:r>
    </w:p>
    <w:p>
      <w:r>
        <w:rPr>
          <w:color w:val="555555"/>
          <w:sz w:val="18"/>
        </w:rPr>
        <w:t xml:space="preserve">Verordnung zur Kriegsopferfürsorge</w:t>
      </w:r>
    </w:p>
    <w:p>
      <w:r>
        <w:rPr>
          <w:color w:val="555555"/>
          <w:sz w:val="18"/>
        </w:rPr>
        <w:t xml:space="preserve">Historische Fassung: Stand 10.06.2019 bis 01.01.2024. Dies ist nicht die aktuelle Fassung.</w:t>
      </w:r>
    </w:p>
    <w:p>
      <w:r>
        <w:t xml:space="preserve">Durch Maßnahmen zur Klärung der beruflichen Eignung und Arbeitserprobung ist Beschädigten die Möglichkeit zu geben, eine ihrer Leistungsfähigkeit entsprechende berufliche Tätigkeit zu finden.</w:t>
      </w:r>
    </w:p>
    <w:p>
      <w:r>
        <w:rPr>
          <w:color w:val="555555"/>
          <w:sz w:val="17"/>
        </w:rPr>
        <w:t xml:space="preserve">Zitiervorschlag: § 3 KFürsV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https://recht.nulegal.eu/gesetze/KF%C3%BCrsV/3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