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KFürsV — Eingliederungshilfe</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Beschädigte erhalten als Hilfen in besonderen Lebenslagen nach § 27d Abs. 1 Nr. 3 des Bundesversorgungsgesetzes auch</w:t>
      </w:r>
    </w:p>
    <w:p>
      <w:pPr>
        <w:ind w:left="420"/>
      </w:pPr>
      <w:r>
        <w:t xml:space="preserve">1. Hilfen zur Teilhabe am Leben in der Gemeinschaft, insbesondere am öffentlichen und kulturellen Geschehen, sofern ihnen ohne diese Hilfen eine Teilhabe infolge der Schädigung nicht möglich oder nicht zumutbar ist,</w:t>
      </w:r>
    </w:p>
    <w:p>
      <w:pPr>
        <w:ind w:left="420"/>
      </w:pPr>
      <w:r>
        <w:t xml:space="preserve">2. Hilfen zur Beschaffung, zum Betrieb, zur Unterhaltung, zum Unterstellen und zum Abstellen eines Kraftfahrzeugs sowie zur Erlangung der Fahrerlaubnis, sofern sie infolge der Schädigung zur Teilhabe am Leben in der Gemeinschaft, insbesondere am öffentlichen und kulturellen Geschehen, auf die Benutzung eines Kraftfahrzeugs angewiesen sind.</w:t>
      </w:r>
    </w:p>
    <w:p>
      <w:r>
        <w:t xml:space="preserve">(2) Die gesundheitlichen Voraussetzungen für die Leistungen nach Absatz 1 Nr. 2 gelten bei Beschädigten als erfüllt, die zum Personenkreis des § 23 Abs. 1 der Orthopädieverordnung in der jeweils geltenden Fassung gehören. Im Übrigen sind sie durch ärztliches Zeugnis nachzuweisen.</w:t>
      </w:r>
    </w:p>
    <w:p>
      <w:r>
        <w:rPr>
          <w:color w:val="555555"/>
          <w:sz w:val="17"/>
        </w:rPr>
        <w:t xml:space="preserve">Zitiervorschlag: § 28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