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KFürsV — Nachweis der Voraussetzungen</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Die Notwendigkeit und Zweckmäßigkeit einer Erholungsmaßnahme nach § 27b des Bundesversorgungsgesetzes sind durch ärztliches Zeugnis nachzuweisen. Bei Beschädigten mit einem Grad der Schädigungsfolgen von weniger als 50 muss der Zusammenhang zwischen Erholungsbedürftigkeit und anerkannten Schädigungsfolgen gesondert ärztlich begründet werden.</w:t>
      </w:r>
    </w:p>
    <w:p>
      <w:r>
        <w:t xml:space="preserve">(2) Die Befugnis zur Mitnahme einer Begleitperson ist gesondert ärztlich zu begründen, es sei denn, die Berechtigung zur Mitnahme einer Begleitperson nach § 229 Absatz 2 des Neunten Buches Sozialgesetzbuch ist nachgewiesen durch</w:t>
      </w:r>
    </w:p>
    <w:p>
      <w:pPr>
        <w:ind w:left="420"/>
      </w:pPr>
      <w:r>
        <w:t xml:space="preserve">1. einen entsprechenden Bescheid der nach § 152 Absatz 4 des Neunten Buches Sozialgesetzbuch zuständigen Behörde oder</w:t>
      </w:r>
    </w:p>
    <w:p>
      <w:pPr>
        <w:ind w:left="420"/>
      </w:pPr>
      <w:r>
        <w:t xml:space="preserve">2. einen Ausweis nach § 152 Absatz 5 des Neunten Buches Sozialgesetzbuch mit einem Vermerk nach § 3 Absatz 2 der Schwerbehindertenausweisverordnung.</w:t>
      </w:r>
    </w:p>
    <w:p>
      <w:r>
        <w:rPr>
          <w:color w:val="555555"/>
          <w:sz w:val="17"/>
        </w:rPr>
        <w:t xml:space="preserve">Zitiervorschlag: § 25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KFürsV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