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23 KFürsV — Erhöhung des Einkommens</w:t>
      </w:r>
    </w:p>
    <w:p>
      <w:r>
        <w:rPr>
          <w:color w:val="555555"/>
          <w:sz w:val="18"/>
        </w:rPr>
        <w:t xml:space="preserve">Verordnung zur Kriegsopferfürsorge</w:t>
      </w:r>
    </w:p>
    <w:p>
      <w:r>
        <w:rPr>
          <w:color w:val="555555"/>
          <w:sz w:val="18"/>
        </w:rPr>
        <w:t xml:space="preserve">Historische Fassung: Stand 10.06.2019 bis 01.01.2024. Dies ist nicht die aktuelle Fassung.</w:t>
      </w:r>
    </w:p>
    <w:p>
      <w:r>
        <w:t xml:space="preserve">Wegen einer Erhöhung des Einkommens darf die Erziehungsbeihilfe während eines Ausbildungsabschnitts nicht entzogen oder gekürzt werden, wenn sich das monatliche Einkommen um nicht mehr als 26 Euro gegenüber dem nach § 25d des Bundesversorgungsgesetzes bei der Bewilligung berücksichtigten monatlichen Einkommen erhöht hat.</w:t>
      </w:r>
    </w:p>
    <w:p>
      <w:r>
        <w:rPr>
          <w:color w:val="555555"/>
          <w:sz w:val="17"/>
        </w:rPr>
        <w:t xml:space="preserve">Zitiervorschlag: § 23 KFürsV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https://recht.nulegal.eu/gesetze/KF%C3%BCrsV/23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