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22 KFürsV — Leistungen für weitere Auszubildende</w:t>
      </w:r>
    </w:p>
    <w:p>
      <w:r>
        <w:rPr>
          <w:color w:val="555555"/>
          <w:sz w:val="18"/>
        </w:rPr>
        <w:t xml:space="preserve">Verordnung zur Kriegsopferfürsorge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Bei der Entscheidung über die Leistung von Erziehungsbeihilfe für weitere Auszubildende ist die Erziehungsbeihilfe für alle Leistungsfälle neu zu berechnen; das gilt nicht für die Fälle des § 18 Abs. 3.</w:t>
      </w:r>
    </w:p>
    <w:p>
      <w:r>
        <w:rPr>
          <w:color w:val="555555"/>
          <w:sz w:val="17"/>
        </w:rPr>
        <w:t xml:space="preserve">Zitiervorschlag: § 22 KFürsV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https://recht.nulegal.eu/gesetze/KF%C3%BCrsV/22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22 KFürsV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