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KFürsV — Unterhaltsbedarf</w:t>
      </w:r>
    </w:p>
    <w:p>
      <w:r>
        <w:rPr>
          <w:color w:val="555555"/>
          <w:sz w:val="18"/>
        </w:rPr>
        <w:t xml:space="preserve">Verordnung zur Kriegsopferfürsorge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Der Bedarf für den Lebensunterhalt Auszubildender während der Erziehung und Ausbildung umfaßt</w:t>
      </w:r>
    </w:p>
    <w:p>
      <w:pPr>
        <w:ind w:left="420"/>
      </w:pPr>
      <w:r>
        <w:t xml:space="preserve">1. bei Verbleib in der Familie einen Betrag in Höhe des Zweifachen der für die Auszubildenden jeweils maßgebenden Regelbedarfsstufe nach der Anlage zu § 28 des Zwölften Buches Sozialgesetzbuch,</w:t>
      </w:r>
    </w:p>
    <w:p>
      <w:pPr>
        <w:ind w:left="420"/>
      </w:pPr>
      <w:r>
        <w:t xml:space="preserve">2. bei Unterbringung in einer stationären Einrichtung oder einer Pflegestelle die Kosten der Unterbringung und Verpflegung, zusätzliche kleinere Ausgaben bis zur Höhe des nach § 27b Absatz 2 des Zwölften Buches Sozialgesetzbuch von den zuständigen Landesbehörden festgesetzten Barbetrages sowie Kosten aus der Erfüllung weiterlaufender unabweislicher Verpflichtungen,</w:t>
      </w:r>
    </w:p>
    <w:p>
      <w:pPr>
        <w:ind w:left="420"/>
      </w:pPr>
      <w:r>
        <w:t xml:space="preserve">3. bei sonstiger Unterbringung außerhalb der Familie einen Betrag in Höhe der Regelbedarfsstufe 1 nach der Anlage zu § 28 des Zwölften Buches Sozialgesetzbuch (Regelbedarfsstufe 1) zuzüglich der für einen den Auszubildenden jeweils gleichaltrigen Haushaltsangehörigen maßgebenden Regelbedarfsstufe sowie die Kosten der Unterkunft am Ausbildungsort; hierbei sind die jeweiligen höchsten Regelsätze des Landes zugrunde zu legen, in dem sich die Ausbildungsstätte befindet. Die Kosten der Unterkunft am Ausbildungsort können durch Pauschbeträge abgegolten werden.</w:t>
      </w:r>
    </w:p>
    <w:p>
      <w:r>
        <w:t xml:space="preserve">Ein etwaiger Sonderbedarf ist in die Bedarfsberechnung mit aufzunehmen.</w:t>
      </w:r>
    </w:p>
    <w:p>
      <w:r>
        <w:t xml:space="preserve">(2) In den Fällen des § 18 Abs. 3 umfaßt der Bedarf nur den besonderen Aufwand; bei der Festsetzung der Einkommensgrenze des § 25e Abs. 1 des Bundesversorgungsgesetzes ist für das Kind oder die Waise ein Familienzuschlag anzusetzen.</w:t>
      </w:r>
    </w:p>
    <w:p>
      <w:r>
        <w:rPr>
          <w:color w:val="555555"/>
          <w:sz w:val="17"/>
        </w:rPr>
        <w:t xml:space="preserve">Zitiervorschlag: § 21 KFürsV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https://recht.nulegal.eu/gesetze/KF%C3%BCrsV/21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