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KFürsV — Leistungen zur Erhaltung oder Erlangung eines Arbeitsplatzes und zur Förderung der Arbeitsaufnahme, Leistungen an Arbeitgeber</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(1) Hilfen zur Erhaltung oder Erlangung eines Arbeitsplatzes und zur Förderung der Arbeitsaufnahme sind insbesondere</w:t>
      </w:r>
    </w:p>
    <w:p>
      <w:pPr>
        <w:ind w:left="420"/>
      </w:pPr>
      <w:r>
        <w:t xml:space="preserve">1. Beratung, einschließlich der Beratung von Vorgesetzten und Kollegen mit Zustimmung der Beschädigten,</w:t>
      </w:r>
    </w:p>
    <w:p>
      <w:pPr>
        <w:ind w:left="420"/>
      </w:pPr>
      <w:r>
        <w:t xml:space="preserve">2. Übernahme der Kosten für Arbeitsausrüstung, wenn die Kosten hierfür sonst üblicherweise vom Arbeitnehmer zu tragen sind; Arbeitsausrüstung umfaßt Arbeitskleidung und Arbeitsgerät,</w:t>
      </w:r>
    </w:p>
    <w:p>
      <w:pPr>
        <w:ind w:left="420"/>
      </w:pPr>
      <w:r>
        <w:t xml:space="preserve">3. Übernahme der Kosten für technische Arbeitshilfen, die in das Eigentum der Beschädigten übergehen, soweit sie nicht nach § 164 Absatz 4 Satz 1 Nummer 5 des Neunten Buches Sozialgesetzbuch vom Arbeitgeber zu stellen sind,</w:t>
      </w:r>
    </w:p>
    <w:p>
      <w:pPr>
        <w:ind w:left="420"/>
      </w:pPr>
      <w:r>
        <w:t xml:space="preserve">4. Übernahme der Umzugskosten.</w:t>
      </w:r>
    </w:p>
    <w:p>
      <w:r>
        <w:t xml:space="preserve">Die Hilfen umfassen auch Leistungen an den Arbeitgeber.</w:t>
      </w:r>
    </w:p>
    <w:p>
      <w:r>
        <w:t xml:space="preserve">(2) Erzielen Beschädigte nach Durchführung einer Maßnahme zur Teilhabe am Arbeitsleben im Sinne der §§ 6 bis 8 an ihrem Arbeitsplatz während einer Einarbeitungszeit nicht den vollen Arbeitsverdienst, erhalten sie als Ausgleich eine Beihilfe in Höhe des Unterschieds zwischen dem Einkommen während der Einarbeitungszeit und dem voraussichtlichen Einkommen nach Ablauf der Einarbeitungszeit; die Dauer der Beihilfe soll sechs Monate nicht überschreiten.</w:t>
      </w:r>
    </w:p>
    <w:p>
      <w:r>
        <w:t xml:space="preserve">(3) Leistungen an Arbeitgeber sind insbesondere</w:t>
      </w:r>
    </w:p>
    <w:p>
      <w:pPr>
        <w:ind w:left="420"/>
      </w:pPr>
      <w:r>
        <w:t xml:space="preserve">1. Ausbildungszuschüsse zur betrieblichen Ausführung von Bildungsleistungen unter Beachtung des § 50 Absatz 3 des Neunten Buches Sozialgesetzbuch,</w:t>
      </w:r>
    </w:p>
    <w:p>
      <w:pPr>
        <w:ind w:left="420"/>
      </w:pPr>
      <w:r>
        <w:t xml:space="preserve">2. Eingliederungszuschüsse, wenn der Arbeitgeber den Beschädigten die zum Erreichen der vollen Leistungsfähigkeit notwendigen beruflichen Kenntnisse und Fertigkeiten an einem Arbeitsplatz vermittelt oder den Beschädigten einen ihrem Leistungsvermögen angemessenen Dauerarbeitsplatz bietet. Der Eingliederungszuschuss soll in der Regel 60 vom Hundert des Arbeitsentgeltes nicht übersteigen und wird in der Regel nicht länger als zwei Jahre gezahlt. Im Übrigen gilt § 50 Absatz 4 Satz 5 bis 8 des Neunten Buches Sozialgesetzbuch entsprechend,</w:t>
      </w:r>
    </w:p>
    <w:p>
      <w:pPr>
        <w:ind w:left="420"/>
      </w:pPr>
      <w:r>
        <w:t xml:space="preserve">3. Zuschüsse für beschädigungsgerechte Arbeitshilfen im Betrieb, soweit nicht der Arbeitgeber hierzu nach § 164 Absatz 4 Satz 1 Nummer 4 des Neunten Buches Sozialgesetzbuch verpflichtet ist,</w:t>
      </w:r>
    </w:p>
    <w:p>
      <w:pPr>
        <w:ind w:left="420"/>
      </w:pPr>
      <w:r>
        <w:t xml:space="preserve">4. teilweise oder volle Kostenerstattung für eine befristete Probebeschäftigung, wenn dadurch die Möglichkeiten einer vollständigen und dauerhaften Teilhabe am Arbeitsleben verbessert werden oder nur dadurch eine vollständige und dauerhafte Teilhabe am Arbeitsleben zu erreichen ist.</w:t>
      </w:r>
    </w:p>
    <w:p>
      <w:r>
        <w:rPr>
          <w:color w:val="555555"/>
          <w:sz w:val="17"/>
        </w:rPr>
        <w:t xml:space="preserve">Zitiervorschlag: § 2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